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DA8F4" w14:textId="77777777" w:rsidR="006129CA" w:rsidRDefault="006129CA" w:rsidP="006129CA">
      <w:pPr>
        <w:jc w:val="center"/>
        <w:rPr>
          <w:rFonts w:ascii="Times New Roman" w:hAnsi="Times New Roman" w:cs="Times New Roman"/>
          <w:b/>
          <w:bCs/>
        </w:rPr>
      </w:pPr>
    </w:p>
    <w:p w14:paraId="0D65029A" w14:textId="77777777" w:rsidR="006129CA" w:rsidRDefault="006129CA" w:rsidP="006129CA">
      <w:pPr>
        <w:jc w:val="center"/>
        <w:rPr>
          <w:rFonts w:ascii="Times New Roman" w:hAnsi="Times New Roman" w:cs="Times New Roman"/>
          <w:b/>
          <w:bCs/>
        </w:rPr>
      </w:pPr>
    </w:p>
    <w:p w14:paraId="5BEA7858" w14:textId="77777777" w:rsidR="006129CA" w:rsidRDefault="006129CA" w:rsidP="006129CA">
      <w:pPr>
        <w:jc w:val="center"/>
        <w:rPr>
          <w:rFonts w:ascii="Times New Roman" w:hAnsi="Times New Roman" w:cs="Times New Roman"/>
          <w:b/>
          <w:bCs/>
        </w:rPr>
      </w:pPr>
    </w:p>
    <w:p w14:paraId="20C97B4D" w14:textId="77777777" w:rsidR="006129CA" w:rsidRDefault="006129CA" w:rsidP="006129CA">
      <w:pPr>
        <w:jc w:val="center"/>
        <w:rPr>
          <w:rFonts w:ascii="Times New Roman" w:hAnsi="Times New Roman" w:cs="Times New Roman"/>
          <w:b/>
          <w:bCs/>
        </w:rPr>
      </w:pPr>
    </w:p>
    <w:p w14:paraId="524DA32B" w14:textId="77777777" w:rsidR="006129CA" w:rsidRDefault="006129CA" w:rsidP="006129CA">
      <w:pPr>
        <w:jc w:val="center"/>
        <w:rPr>
          <w:rFonts w:ascii="Times New Roman" w:hAnsi="Times New Roman" w:cs="Times New Roman"/>
          <w:b/>
          <w:bCs/>
        </w:rPr>
      </w:pPr>
    </w:p>
    <w:p w14:paraId="5CAE2D9B" w14:textId="77777777" w:rsidR="006129CA" w:rsidRDefault="006129CA" w:rsidP="006129CA">
      <w:pPr>
        <w:jc w:val="center"/>
        <w:rPr>
          <w:rFonts w:ascii="Times New Roman" w:hAnsi="Times New Roman" w:cs="Times New Roman"/>
          <w:b/>
          <w:bCs/>
        </w:rPr>
      </w:pPr>
    </w:p>
    <w:p w14:paraId="428A4C2E" w14:textId="77777777" w:rsidR="006129CA" w:rsidRDefault="006129CA" w:rsidP="006129CA">
      <w:pPr>
        <w:jc w:val="center"/>
        <w:rPr>
          <w:rFonts w:ascii="Times New Roman" w:hAnsi="Times New Roman" w:cs="Times New Roman"/>
          <w:b/>
          <w:bCs/>
        </w:rPr>
      </w:pPr>
    </w:p>
    <w:p w14:paraId="6ECE86E3" w14:textId="77777777" w:rsidR="006129CA" w:rsidRDefault="006129CA" w:rsidP="006129CA">
      <w:pPr>
        <w:jc w:val="center"/>
        <w:rPr>
          <w:rFonts w:ascii="Times New Roman" w:hAnsi="Times New Roman" w:cs="Times New Roman"/>
          <w:b/>
          <w:bCs/>
        </w:rPr>
      </w:pPr>
    </w:p>
    <w:p w14:paraId="6949D778" w14:textId="77777777" w:rsidR="006129CA" w:rsidRDefault="006129CA" w:rsidP="006129CA">
      <w:pPr>
        <w:jc w:val="center"/>
        <w:rPr>
          <w:rFonts w:ascii="Times New Roman" w:hAnsi="Times New Roman" w:cs="Times New Roman"/>
          <w:b/>
          <w:bCs/>
        </w:rPr>
      </w:pPr>
    </w:p>
    <w:p w14:paraId="239D61BA" w14:textId="77777777" w:rsidR="006129CA" w:rsidRDefault="006129CA" w:rsidP="006129CA">
      <w:pPr>
        <w:jc w:val="center"/>
        <w:rPr>
          <w:rFonts w:ascii="Times New Roman" w:hAnsi="Times New Roman" w:cs="Times New Roman"/>
          <w:b/>
          <w:bCs/>
        </w:rPr>
      </w:pPr>
    </w:p>
    <w:p w14:paraId="5C87D1D1" w14:textId="77777777" w:rsidR="00DB5706" w:rsidRDefault="00DB5706" w:rsidP="006129CA">
      <w:pPr>
        <w:jc w:val="center"/>
        <w:rPr>
          <w:rFonts w:ascii="Times New Roman" w:hAnsi="Times New Roman" w:cs="Times New Roman"/>
          <w:b/>
          <w:bCs/>
        </w:rPr>
      </w:pPr>
    </w:p>
    <w:p w14:paraId="709E1EF6" w14:textId="74E189EA" w:rsidR="006129CA" w:rsidRDefault="00DB5706" w:rsidP="006129CA">
      <w:pPr>
        <w:jc w:val="center"/>
        <w:rPr>
          <w:rFonts w:ascii="Times New Roman" w:hAnsi="Times New Roman" w:cs="Times New Roman"/>
          <w:b/>
          <w:bCs/>
          <w:sz w:val="28"/>
          <w:szCs w:val="28"/>
          <w:u w:val="single"/>
        </w:rPr>
      </w:pPr>
      <w:r w:rsidRPr="00DB5706">
        <w:rPr>
          <w:rFonts w:ascii="Times New Roman" w:hAnsi="Times New Roman" w:cs="Times New Roman"/>
          <w:b/>
          <w:bCs/>
          <w:sz w:val="28"/>
          <w:szCs w:val="28"/>
          <w:u w:val="single"/>
        </w:rPr>
        <w:t xml:space="preserve">Historical </w:t>
      </w:r>
      <w:r>
        <w:rPr>
          <w:rFonts w:ascii="Times New Roman" w:hAnsi="Times New Roman" w:cs="Times New Roman"/>
          <w:b/>
          <w:bCs/>
          <w:sz w:val="28"/>
          <w:szCs w:val="28"/>
          <w:u w:val="single"/>
        </w:rPr>
        <w:t>Context</w:t>
      </w:r>
      <w:r w:rsidRPr="00DB5706">
        <w:rPr>
          <w:rFonts w:ascii="Times New Roman" w:hAnsi="Times New Roman" w:cs="Times New Roman"/>
          <w:b/>
          <w:bCs/>
          <w:sz w:val="28"/>
          <w:szCs w:val="28"/>
          <w:u w:val="single"/>
        </w:rPr>
        <w:t xml:space="preserve"> and Modern Violence: Understanding Genocide Allegations Against Israel</w:t>
      </w:r>
    </w:p>
    <w:p w14:paraId="2EA39F65" w14:textId="6B448D44" w:rsidR="00DB5706" w:rsidRDefault="00DB5706" w:rsidP="006129CA">
      <w:pPr>
        <w:jc w:val="center"/>
        <w:rPr>
          <w:rFonts w:ascii="Times New Roman" w:hAnsi="Times New Roman" w:cs="Times New Roman"/>
        </w:rPr>
      </w:pPr>
      <w:r>
        <w:rPr>
          <w:rFonts w:ascii="Times New Roman" w:hAnsi="Times New Roman" w:cs="Times New Roman"/>
        </w:rPr>
        <w:t>Liv Hughes</w:t>
      </w:r>
    </w:p>
    <w:p w14:paraId="669A3539" w14:textId="70861DB2" w:rsidR="00DB5706" w:rsidRPr="00DB5706" w:rsidRDefault="00DB5706" w:rsidP="006129CA">
      <w:pPr>
        <w:jc w:val="center"/>
        <w:rPr>
          <w:rFonts w:ascii="Times New Roman" w:hAnsi="Times New Roman" w:cs="Times New Roman"/>
        </w:rPr>
      </w:pPr>
      <w:r>
        <w:rPr>
          <w:rFonts w:ascii="Times New Roman" w:hAnsi="Times New Roman" w:cs="Times New Roman"/>
        </w:rPr>
        <w:t>Spring 2026</w:t>
      </w:r>
    </w:p>
    <w:p w14:paraId="0CE72823" w14:textId="77777777" w:rsidR="006129CA" w:rsidRDefault="006129CA" w:rsidP="006129CA">
      <w:pPr>
        <w:jc w:val="center"/>
        <w:rPr>
          <w:rFonts w:ascii="Times New Roman" w:hAnsi="Times New Roman" w:cs="Times New Roman"/>
          <w:b/>
          <w:bCs/>
        </w:rPr>
      </w:pPr>
    </w:p>
    <w:p w14:paraId="3DD04CDC" w14:textId="77777777" w:rsidR="006129CA" w:rsidRDefault="006129CA" w:rsidP="006129CA">
      <w:pPr>
        <w:jc w:val="center"/>
        <w:rPr>
          <w:rFonts w:ascii="Times New Roman" w:hAnsi="Times New Roman" w:cs="Times New Roman"/>
          <w:b/>
          <w:bCs/>
        </w:rPr>
      </w:pPr>
    </w:p>
    <w:p w14:paraId="4B9F4D78" w14:textId="77777777" w:rsidR="006129CA" w:rsidRDefault="006129CA" w:rsidP="006129CA">
      <w:pPr>
        <w:jc w:val="center"/>
        <w:rPr>
          <w:rFonts w:ascii="Times New Roman" w:hAnsi="Times New Roman" w:cs="Times New Roman"/>
          <w:b/>
          <w:bCs/>
        </w:rPr>
      </w:pPr>
    </w:p>
    <w:p w14:paraId="795C78AA" w14:textId="77777777" w:rsidR="006129CA" w:rsidRDefault="006129CA" w:rsidP="006129CA">
      <w:pPr>
        <w:jc w:val="center"/>
        <w:rPr>
          <w:rFonts w:ascii="Times New Roman" w:hAnsi="Times New Roman" w:cs="Times New Roman"/>
          <w:b/>
          <w:bCs/>
        </w:rPr>
      </w:pPr>
    </w:p>
    <w:p w14:paraId="41FDF704" w14:textId="77777777" w:rsidR="006129CA" w:rsidRDefault="006129CA" w:rsidP="006129CA">
      <w:pPr>
        <w:jc w:val="center"/>
        <w:rPr>
          <w:rFonts w:ascii="Times New Roman" w:hAnsi="Times New Roman" w:cs="Times New Roman"/>
          <w:b/>
          <w:bCs/>
        </w:rPr>
      </w:pPr>
    </w:p>
    <w:p w14:paraId="0405E4FF" w14:textId="77777777" w:rsidR="006129CA" w:rsidRDefault="006129CA" w:rsidP="006129CA">
      <w:pPr>
        <w:jc w:val="center"/>
        <w:rPr>
          <w:rFonts w:ascii="Times New Roman" w:hAnsi="Times New Roman" w:cs="Times New Roman"/>
          <w:b/>
          <w:bCs/>
        </w:rPr>
      </w:pPr>
    </w:p>
    <w:p w14:paraId="271E08C8" w14:textId="77777777" w:rsidR="006129CA" w:rsidRDefault="006129CA" w:rsidP="006129CA">
      <w:pPr>
        <w:jc w:val="center"/>
        <w:rPr>
          <w:rFonts w:ascii="Times New Roman" w:hAnsi="Times New Roman" w:cs="Times New Roman"/>
          <w:b/>
          <w:bCs/>
        </w:rPr>
      </w:pPr>
    </w:p>
    <w:p w14:paraId="2BE113A4" w14:textId="77777777" w:rsidR="006129CA" w:rsidRDefault="006129CA" w:rsidP="006129CA">
      <w:pPr>
        <w:jc w:val="center"/>
        <w:rPr>
          <w:rFonts w:ascii="Times New Roman" w:hAnsi="Times New Roman" w:cs="Times New Roman"/>
          <w:b/>
          <w:bCs/>
        </w:rPr>
      </w:pPr>
    </w:p>
    <w:p w14:paraId="520F99A1" w14:textId="77777777" w:rsidR="006129CA" w:rsidRDefault="006129CA" w:rsidP="006129CA">
      <w:pPr>
        <w:jc w:val="center"/>
        <w:rPr>
          <w:rFonts w:ascii="Times New Roman" w:hAnsi="Times New Roman" w:cs="Times New Roman"/>
          <w:b/>
          <w:bCs/>
        </w:rPr>
      </w:pPr>
    </w:p>
    <w:p w14:paraId="0D4E6166" w14:textId="77777777" w:rsidR="006129CA" w:rsidRDefault="006129CA" w:rsidP="006129CA">
      <w:pPr>
        <w:jc w:val="center"/>
        <w:rPr>
          <w:rFonts w:ascii="Times New Roman" w:hAnsi="Times New Roman" w:cs="Times New Roman"/>
          <w:b/>
          <w:bCs/>
        </w:rPr>
      </w:pPr>
    </w:p>
    <w:p w14:paraId="4BAF9E82" w14:textId="77777777" w:rsidR="006129CA" w:rsidRDefault="006129CA" w:rsidP="006129CA">
      <w:pPr>
        <w:jc w:val="center"/>
        <w:rPr>
          <w:rFonts w:ascii="Times New Roman" w:hAnsi="Times New Roman" w:cs="Times New Roman"/>
          <w:b/>
          <w:bCs/>
        </w:rPr>
      </w:pPr>
    </w:p>
    <w:p w14:paraId="392ECA43" w14:textId="77777777" w:rsidR="006129CA" w:rsidRDefault="006129CA" w:rsidP="006129CA">
      <w:pPr>
        <w:jc w:val="center"/>
        <w:rPr>
          <w:rFonts w:ascii="Times New Roman" w:hAnsi="Times New Roman" w:cs="Times New Roman"/>
          <w:b/>
          <w:bCs/>
        </w:rPr>
      </w:pPr>
    </w:p>
    <w:p w14:paraId="71EC288E" w14:textId="4CCB5E10" w:rsidR="007D1E5C" w:rsidRPr="007D1E5C" w:rsidRDefault="007D1E5C" w:rsidP="007D1E5C">
      <w:pPr>
        <w:spacing w:line="480" w:lineRule="auto"/>
        <w:ind w:firstLine="720"/>
        <w:rPr>
          <w:rFonts w:ascii="Times New Roman" w:hAnsi="Times New Roman" w:cs="Times New Roman"/>
        </w:rPr>
      </w:pPr>
      <w:r>
        <w:rPr>
          <w:rFonts w:ascii="Times New Roman" w:hAnsi="Times New Roman" w:cs="Times New Roman"/>
        </w:rPr>
        <w:lastRenderedPageBreak/>
        <w:t>“Genocide</w:t>
      </w:r>
      <w:r w:rsidRPr="007D1E5C">
        <w:rPr>
          <w:rFonts w:ascii="Times New Roman" w:hAnsi="Times New Roman" w:cs="Times New Roman"/>
        </w:rPr>
        <w:t xml:space="preserve"> means any of the following acts committed with intent to destroy, in whole or in part, a national, ethnical, racial or religious group, as such:</w:t>
      </w:r>
      <w:r>
        <w:rPr>
          <w:rFonts w:ascii="Times New Roman" w:hAnsi="Times New Roman" w:cs="Times New Roman"/>
        </w:rPr>
        <w:t xml:space="preserve"> </w:t>
      </w:r>
      <w:r w:rsidRPr="007D1E5C">
        <w:rPr>
          <w:rFonts w:ascii="Times New Roman" w:hAnsi="Times New Roman" w:cs="Times New Roman"/>
        </w:rPr>
        <w:t>Killing members of the group</w:t>
      </w:r>
      <w:r>
        <w:rPr>
          <w:rFonts w:ascii="Times New Roman" w:hAnsi="Times New Roman" w:cs="Times New Roman"/>
        </w:rPr>
        <w:t>, c</w:t>
      </w:r>
      <w:r w:rsidRPr="007D1E5C">
        <w:rPr>
          <w:rFonts w:ascii="Times New Roman" w:hAnsi="Times New Roman" w:cs="Times New Roman"/>
        </w:rPr>
        <w:t>ausing serious bodily or mental harm to members of the group</w:t>
      </w:r>
      <w:r>
        <w:rPr>
          <w:rFonts w:ascii="Times New Roman" w:hAnsi="Times New Roman" w:cs="Times New Roman"/>
        </w:rPr>
        <w:t xml:space="preserve">, </w:t>
      </w:r>
      <w:r w:rsidRPr="007D1E5C">
        <w:rPr>
          <w:rFonts w:ascii="Times New Roman" w:hAnsi="Times New Roman" w:cs="Times New Roman"/>
        </w:rPr>
        <w:t>deliberately inflicting on the group conditions of life calculated to bring about its physical destruction in whole or in part</w:t>
      </w:r>
      <w:r>
        <w:rPr>
          <w:rFonts w:ascii="Times New Roman" w:hAnsi="Times New Roman" w:cs="Times New Roman"/>
        </w:rPr>
        <w:t>, i</w:t>
      </w:r>
      <w:r w:rsidRPr="007D1E5C">
        <w:rPr>
          <w:rFonts w:ascii="Times New Roman" w:hAnsi="Times New Roman" w:cs="Times New Roman"/>
        </w:rPr>
        <w:t>mposing measures intended to prevent births within the group</w:t>
      </w:r>
      <w:r>
        <w:rPr>
          <w:rFonts w:ascii="Times New Roman" w:hAnsi="Times New Roman" w:cs="Times New Roman"/>
        </w:rPr>
        <w:t>, and f</w:t>
      </w:r>
      <w:r w:rsidRPr="007D1E5C">
        <w:rPr>
          <w:rFonts w:ascii="Times New Roman" w:hAnsi="Times New Roman" w:cs="Times New Roman"/>
        </w:rPr>
        <w:t>orcibly transferring children of the group to another group</w:t>
      </w:r>
      <w:r>
        <w:rPr>
          <w:rFonts w:ascii="Times New Roman" w:hAnsi="Times New Roman" w:cs="Times New Roman"/>
        </w:rPr>
        <w:t xml:space="preserve"> </w:t>
      </w:r>
      <w:r w:rsidRPr="007D1E5C">
        <w:rPr>
          <w:rFonts w:ascii="Times New Roman" w:hAnsi="Times New Roman" w:cs="Times New Roman"/>
        </w:rPr>
        <w:t>(United Nations General Assembly 1948)</w:t>
      </w:r>
      <w:r w:rsidR="00780CB9">
        <w:rPr>
          <w:rFonts w:ascii="Times New Roman" w:hAnsi="Times New Roman" w:cs="Times New Roman"/>
        </w:rPr>
        <w:t>.”</w:t>
      </w:r>
    </w:p>
    <w:p w14:paraId="13F1CF2D" w14:textId="628E6777" w:rsidR="00A86B52" w:rsidRDefault="00DA5569" w:rsidP="00A86B52">
      <w:pPr>
        <w:spacing w:line="480" w:lineRule="auto"/>
        <w:ind w:firstLine="720"/>
        <w:rPr>
          <w:rFonts w:ascii="Times New Roman" w:hAnsi="Times New Roman" w:cs="Times New Roman"/>
        </w:rPr>
      </w:pPr>
      <w:r w:rsidRPr="00DA5569">
        <w:rPr>
          <w:rFonts w:ascii="Times New Roman" w:hAnsi="Times New Roman" w:cs="Times New Roman"/>
        </w:rPr>
        <w:t>The Israeli–Palestinian conflict is often described as one of the world’s most enduring</w:t>
      </w:r>
      <w:r w:rsidR="00E0326D">
        <w:rPr>
          <w:rFonts w:ascii="Times New Roman" w:hAnsi="Times New Roman" w:cs="Times New Roman"/>
        </w:rPr>
        <w:t>, confusing, and polarizing</w:t>
      </w:r>
      <w:r w:rsidRPr="00DA5569">
        <w:rPr>
          <w:rFonts w:ascii="Times New Roman" w:hAnsi="Times New Roman" w:cs="Times New Roman"/>
        </w:rPr>
        <w:t xml:space="preserve"> struggles. Understanding current claims that Israel is committing genocide against the Palestinian people requires examining the longer historical trajectory that </w:t>
      </w:r>
      <w:r w:rsidR="006038C5">
        <w:rPr>
          <w:rFonts w:ascii="Times New Roman" w:hAnsi="Times New Roman" w:cs="Times New Roman"/>
        </w:rPr>
        <w:t xml:space="preserve">has </w:t>
      </w:r>
      <w:r w:rsidRPr="00DA5569">
        <w:rPr>
          <w:rFonts w:ascii="Times New Roman" w:hAnsi="Times New Roman" w:cs="Times New Roman"/>
        </w:rPr>
        <w:t>shaped the conflict. These</w:t>
      </w:r>
      <w:r w:rsidR="00A86B52">
        <w:rPr>
          <w:rFonts w:ascii="Times New Roman" w:hAnsi="Times New Roman" w:cs="Times New Roman"/>
        </w:rPr>
        <w:t xml:space="preserve"> genocidal</w:t>
      </w:r>
      <w:r w:rsidRPr="00DA5569">
        <w:rPr>
          <w:rFonts w:ascii="Times New Roman" w:hAnsi="Times New Roman" w:cs="Times New Roman"/>
        </w:rPr>
        <w:t xml:space="preserve"> allegations are not new. Instead, they are rooted in a century of political ideology, </w:t>
      </w:r>
      <w:r w:rsidR="00E0326D">
        <w:rPr>
          <w:rFonts w:ascii="Times New Roman" w:hAnsi="Times New Roman" w:cs="Times New Roman"/>
        </w:rPr>
        <w:t>violent territorial disputes</w:t>
      </w:r>
      <w:r w:rsidRPr="00DA5569">
        <w:rPr>
          <w:rFonts w:ascii="Times New Roman" w:hAnsi="Times New Roman" w:cs="Times New Roman"/>
        </w:rPr>
        <w:t>, and population displacement that began with the rise of Zionism in the late nineteenth century</w:t>
      </w:r>
      <w:r>
        <w:rPr>
          <w:rFonts w:ascii="Times New Roman" w:hAnsi="Times New Roman" w:cs="Times New Roman"/>
        </w:rPr>
        <w:t xml:space="preserve">. </w:t>
      </w:r>
      <w:r w:rsidR="00334144">
        <w:rPr>
          <w:rFonts w:ascii="Times New Roman" w:hAnsi="Times New Roman" w:cs="Times New Roman"/>
        </w:rPr>
        <w:t>Under</w:t>
      </w:r>
      <w:r w:rsidRPr="00DA5569">
        <w:rPr>
          <w:rFonts w:ascii="Times New Roman" w:hAnsi="Times New Roman" w:cs="Times New Roman"/>
        </w:rPr>
        <w:t xml:space="preserve"> British Mandate </w:t>
      </w:r>
      <w:r w:rsidR="00A86B52" w:rsidRPr="00DA5569">
        <w:rPr>
          <w:rFonts w:ascii="Times New Roman" w:hAnsi="Times New Roman" w:cs="Times New Roman"/>
        </w:rPr>
        <w:t>rule and</w:t>
      </w:r>
      <w:r w:rsidRPr="00DA5569">
        <w:rPr>
          <w:rFonts w:ascii="Times New Roman" w:hAnsi="Times New Roman" w:cs="Times New Roman"/>
        </w:rPr>
        <w:t xml:space="preserve"> </w:t>
      </w:r>
      <w:r w:rsidR="00E0326D">
        <w:rPr>
          <w:rFonts w:ascii="Times New Roman" w:hAnsi="Times New Roman" w:cs="Times New Roman"/>
        </w:rPr>
        <w:t>intensified</w:t>
      </w:r>
      <w:r w:rsidR="00A86B52">
        <w:rPr>
          <w:rFonts w:ascii="Times New Roman" w:hAnsi="Times New Roman" w:cs="Times New Roman"/>
        </w:rPr>
        <w:t xml:space="preserve"> after</w:t>
      </w:r>
      <w:r w:rsidRPr="00DA5569">
        <w:rPr>
          <w:rFonts w:ascii="Times New Roman" w:hAnsi="Times New Roman" w:cs="Times New Roman"/>
        </w:rPr>
        <w:t xml:space="preserve"> the 1948 Nakba</w:t>
      </w:r>
      <w:r w:rsidR="00334144">
        <w:rPr>
          <w:rFonts w:ascii="Times New Roman" w:hAnsi="Times New Roman" w:cs="Times New Roman"/>
        </w:rPr>
        <w:t>, this conflict expanded.</w:t>
      </w:r>
      <w:r w:rsidR="00A86B52" w:rsidRPr="00DA5569">
        <w:rPr>
          <w:rFonts w:ascii="Times New Roman" w:hAnsi="Times New Roman" w:cs="Times New Roman"/>
        </w:rPr>
        <w:t xml:space="preserve"> </w:t>
      </w:r>
      <w:r w:rsidRPr="00DA5569">
        <w:rPr>
          <w:rFonts w:ascii="Times New Roman" w:hAnsi="Times New Roman" w:cs="Times New Roman"/>
        </w:rPr>
        <w:t>The development of Zionism as both a nationalist and settler</w:t>
      </w:r>
      <w:r w:rsidRPr="00DA5569">
        <w:rPr>
          <w:rFonts w:ascii="Times New Roman" w:hAnsi="Times New Roman" w:cs="Times New Roman"/>
        </w:rPr>
        <w:noBreakHyphen/>
        <w:t xml:space="preserve">colonial project, and the mass displacement </w:t>
      </w:r>
      <w:r w:rsidR="00A86B52">
        <w:rPr>
          <w:rFonts w:ascii="Times New Roman" w:hAnsi="Times New Roman" w:cs="Times New Roman"/>
        </w:rPr>
        <w:t xml:space="preserve">of Palestinians </w:t>
      </w:r>
      <w:r w:rsidRPr="00DA5569">
        <w:rPr>
          <w:rFonts w:ascii="Times New Roman" w:hAnsi="Times New Roman" w:cs="Times New Roman"/>
        </w:rPr>
        <w:t>that accompanied the creation of the Israeli state</w:t>
      </w:r>
      <w:r w:rsidR="00A86B52">
        <w:rPr>
          <w:rFonts w:ascii="Times New Roman" w:hAnsi="Times New Roman" w:cs="Times New Roman"/>
        </w:rPr>
        <w:t>,</w:t>
      </w:r>
      <w:r w:rsidRPr="00DA5569">
        <w:rPr>
          <w:rFonts w:ascii="Times New Roman" w:hAnsi="Times New Roman" w:cs="Times New Roman"/>
        </w:rPr>
        <w:t xml:space="preserve"> form the historical foundation through which present</w:t>
      </w:r>
      <w:r w:rsidRPr="00DA5569">
        <w:rPr>
          <w:rFonts w:ascii="Times New Roman" w:hAnsi="Times New Roman" w:cs="Times New Roman"/>
        </w:rPr>
        <w:noBreakHyphen/>
        <w:t xml:space="preserve">day violence is interpreted. Understanding </w:t>
      </w:r>
      <w:r w:rsidR="00A86B52">
        <w:rPr>
          <w:rFonts w:ascii="Times New Roman" w:hAnsi="Times New Roman" w:cs="Times New Roman"/>
        </w:rPr>
        <w:t>the complex history of this con</w:t>
      </w:r>
      <w:r w:rsidR="006038C5">
        <w:rPr>
          <w:rFonts w:ascii="Times New Roman" w:hAnsi="Times New Roman" w:cs="Times New Roman"/>
        </w:rPr>
        <w:t xml:space="preserve">flict </w:t>
      </w:r>
      <w:r w:rsidR="00A86B52">
        <w:rPr>
          <w:rFonts w:ascii="Times New Roman" w:hAnsi="Times New Roman" w:cs="Times New Roman"/>
        </w:rPr>
        <w:t>is</w:t>
      </w:r>
      <w:r w:rsidRPr="00DA5569">
        <w:rPr>
          <w:rFonts w:ascii="Times New Roman" w:hAnsi="Times New Roman" w:cs="Times New Roman"/>
        </w:rPr>
        <w:t xml:space="preserve"> essential for evaluating why genocide claims resonate so strongly in the </w:t>
      </w:r>
      <w:r w:rsidR="00780CB9">
        <w:rPr>
          <w:rFonts w:ascii="Times New Roman" w:hAnsi="Times New Roman" w:cs="Times New Roman"/>
        </w:rPr>
        <w:t>present</w:t>
      </w:r>
      <w:r w:rsidRPr="00DA5569">
        <w:rPr>
          <w:rFonts w:ascii="Times New Roman" w:hAnsi="Times New Roman" w:cs="Times New Roman"/>
        </w:rPr>
        <w:t xml:space="preserve"> moment.</w:t>
      </w:r>
    </w:p>
    <w:p w14:paraId="4CC74F07" w14:textId="5D916A33" w:rsidR="006038C5" w:rsidRDefault="00DA5569" w:rsidP="006F43C6">
      <w:pPr>
        <w:spacing w:line="480" w:lineRule="auto"/>
        <w:ind w:firstLine="720"/>
        <w:rPr>
          <w:rFonts w:ascii="Times New Roman" w:hAnsi="Times New Roman" w:cs="Times New Roman"/>
        </w:rPr>
      </w:pPr>
      <w:r w:rsidRPr="00DA5569">
        <w:rPr>
          <w:rFonts w:ascii="Times New Roman" w:hAnsi="Times New Roman" w:cs="Times New Roman"/>
        </w:rPr>
        <w:t>This project asks the following research question: How do key historical junctures in the Israeli–Palestinian conflict reinforce contemporary claims that Israel is committing</w:t>
      </w:r>
      <w:r w:rsidR="00D53ED6">
        <w:rPr>
          <w:rFonts w:ascii="Times New Roman" w:hAnsi="Times New Roman" w:cs="Times New Roman"/>
        </w:rPr>
        <w:t xml:space="preserve"> a</w:t>
      </w:r>
      <w:r w:rsidRPr="00DA5569">
        <w:rPr>
          <w:rFonts w:ascii="Times New Roman" w:hAnsi="Times New Roman" w:cs="Times New Roman"/>
        </w:rPr>
        <w:t xml:space="preserve"> genocide</w:t>
      </w:r>
      <w:r w:rsidR="00D53ED6">
        <w:rPr>
          <w:rFonts w:ascii="Times New Roman" w:hAnsi="Times New Roman" w:cs="Times New Roman"/>
        </w:rPr>
        <w:t xml:space="preserve"> against the Palestinian people?</w:t>
      </w:r>
    </w:p>
    <w:p w14:paraId="6300CEF4" w14:textId="4A01970B" w:rsidR="00DB5706" w:rsidRDefault="00A86B52" w:rsidP="006038C5">
      <w:pPr>
        <w:spacing w:line="480" w:lineRule="auto"/>
        <w:ind w:firstLine="720"/>
        <w:rPr>
          <w:rFonts w:ascii="Times New Roman" w:hAnsi="Times New Roman" w:cs="Times New Roman"/>
        </w:rPr>
      </w:pPr>
      <w:r w:rsidRPr="00A86B52">
        <w:rPr>
          <w:rFonts w:ascii="Times New Roman" w:hAnsi="Times New Roman" w:cs="Times New Roman"/>
        </w:rPr>
        <w:t xml:space="preserve"> To answer this question, the project examines four major turning points: the ideological formation of Zionism, the political </w:t>
      </w:r>
      <w:r>
        <w:rPr>
          <w:rFonts w:ascii="Times New Roman" w:hAnsi="Times New Roman" w:cs="Times New Roman"/>
        </w:rPr>
        <w:t>r</w:t>
      </w:r>
      <w:r w:rsidRPr="00A86B52">
        <w:rPr>
          <w:rFonts w:ascii="Times New Roman" w:hAnsi="Times New Roman" w:cs="Times New Roman"/>
        </w:rPr>
        <w:t xml:space="preserve">estructuring of the British Mandate period, the mass displacement </w:t>
      </w:r>
      <w:r w:rsidR="00354AA2">
        <w:rPr>
          <w:rFonts w:ascii="Times New Roman" w:hAnsi="Times New Roman" w:cs="Times New Roman"/>
        </w:rPr>
        <w:t>of Palestinians in</w:t>
      </w:r>
      <w:r w:rsidRPr="00A86B52">
        <w:rPr>
          <w:rFonts w:ascii="Times New Roman" w:hAnsi="Times New Roman" w:cs="Times New Roman"/>
        </w:rPr>
        <w:t xml:space="preserve"> 1948, and the modern period of blockade and large</w:t>
      </w:r>
      <w:r w:rsidRPr="00A86B52">
        <w:rPr>
          <w:rFonts w:ascii="Times New Roman" w:hAnsi="Times New Roman" w:cs="Times New Roman"/>
        </w:rPr>
        <w:noBreakHyphen/>
        <w:t xml:space="preserve">scale </w:t>
      </w:r>
      <w:r w:rsidRPr="00A86B52">
        <w:rPr>
          <w:rFonts w:ascii="Times New Roman" w:hAnsi="Times New Roman" w:cs="Times New Roman"/>
        </w:rPr>
        <w:lastRenderedPageBreak/>
        <w:t xml:space="preserve">violence </w:t>
      </w:r>
      <w:r>
        <w:rPr>
          <w:rFonts w:ascii="Times New Roman" w:hAnsi="Times New Roman" w:cs="Times New Roman"/>
        </w:rPr>
        <w:t>that plagues the Gaza Strip</w:t>
      </w:r>
      <w:r w:rsidR="00354AA2">
        <w:rPr>
          <w:rFonts w:ascii="Times New Roman" w:hAnsi="Times New Roman" w:cs="Times New Roman"/>
        </w:rPr>
        <w:t xml:space="preserve">. </w:t>
      </w:r>
      <w:r>
        <w:rPr>
          <w:rFonts w:ascii="Times New Roman" w:hAnsi="Times New Roman" w:cs="Times New Roman"/>
        </w:rPr>
        <w:t>These</w:t>
      </w:r>
      <w:r w:rsidRPr="00A86B52">
        <w:rPr>
          <w:rFonts w:ascii="Times New Roman" w:hAnsi="Times New Roman" w:cs="Times New Roman"/>
        </w:rPr>
        <w:t xml:space="preserve"> moments </w:t>
      </w:r>
      <w:r w:rsidR="00780CB9">
        <w:rPr>
          <w:rFonts w:ascii="Times New Roman" w:hAnsi="Times New Roman" w:cs="Times New Roman"/>
        </w:rPr>
        <w:t>piece together rec</w:t>
      </w:r>
      <w:r>
        <w:rPr>
          <w:rFonts w:ascii="Times New Roman" w:hAnsi="Times New Roman" w:cs="Times New Roman"/>
        </w:rPr>
        <w:t xml:space="preserve">urring patterns of dispossession, forced movement, territorial control, and the creation of conditions that make human survival </w:t>
      </w:r>
      <w:r w:rsidR="00C57F95">
        <w:rPr>
          <w:rFonts w:ascii="Times New Roman" w:hAnsi="Times New Roman" w:cs="Times New Roman"/>
        </w:rPr>
        <w:t xml:space="preserve">borderline </w:t>
      </w:r>
      <w:r>
        <w:rPr>
          <w:rFonts w:ascii="Times New Roman" w:hAnsi="Times New Roman" w:cs="Times New Roman"/>
        </w:rPr>
        <w:t>impossible.</w:t>
      </w:r>
    </w:p>
    <w:p w14:paraId="54070B02" w14:textId="6F455CD3" w:rsidR="00EB512F" w:rsidRDefault="00E0326D" w:rsidP="00EB512F">
      <w:pPr>
        <w:spacing w:line="480" w:lineRule="auto"/>
        <w:ind w:firstLine="720"/>
        <w:rPr>
          <w:rFonts w:ascii="Times New Roman" w:hAnsi="Times New Roman" w:cs="Times New Roman"/>
        </w:rPr>
      </w:pPr>
      <w:r w:rsidRPr="00E0326D">
        <w:rPr>
          <w:rFonts w:ascii="Times New Roman" w:hAnsi="Times New Roman" w:cs="Times New Roman"/>
        </w:rPr>
        <w:t xml:space="preserve">This topic is relevant because debates about genocide in Gaza have become central to global discussions of human rights, international law, and accountability. Claims continue to be </w:t>
      </w:r>
      <w:r w:rsidR="006F43C6">
        <w:rPr>
          <w:rFonts w:ascii="Times New Roman" w:hAnsi="Times New Roman" w:cs="Times New Roman"/>
        </w:rPr>
        <w:t>debated</w:t>
      </w:r>
      <w:r w:rsidRPr="00E0326D">
        <w:rPr>
          <w:rFonts w:ascii="Times New Roman" w:hAnsi="Times New Roman" w:cs="Times New Roman"/>
        </w:rPr>
        <w:t>, even as international institutions</w:t>
      </w:r>
      <w:r>
        <w:rPr>
          <w:rFonts w:ascii="Times New Roman" w:hAnsi="Times New Roman" w:cs="Times New Roman"/>
        </w:rPr>
        <w:t>, like the United Nations</w:t>
      </w:r>
      <w:r w:rsidR="006038C5">
        <w:rPr>
          <w:rFonts w:ascii="Times New Roman" w:hAnsi="Times New Roman" w:cs="Times New Roman"/>
        </w:rPr>
        <w:t>,</w:t>
      </w:r>
      <w:r w:rsidRPr="00E0326D">
        <w:rPr>
          <w:rFonts w:ascii="Times New Roman" w:hAnsi="Times New Roman" w:cs="Times New Roman"/>
        </w:rPr>
        <w:t xml:space="preserve"> have raised concerns about the scale and nature of the violence. Understanding these debates requires </w:t>
      </w:r>
      <w:r w:rsidR="006038C5">
        <w:rPr>
          <w:rFonts w:ascii="Times New Roman" w:hAnsi="Times New Roman" w:cs="Times New Roman"/>
        </w:rPr>
        <w:t>connecting</w:t>
      </w:r>
      <w:r w:rsidRPr="00E0326D">
        <w:rPr>
          <w:rFonts w:ascii="Times New Roman" w:hAnsi="Times New Roman" w:cs="Times New Roman"/>
        </w:rPr>
        <w:t xml:space="preserve"> the present crisis within a longer history of displacement, state power, and </w:t>
      </w:r>
      <w:r w:rsidR="006038C5">
        <w:rPr>
          <w:rFonts w:ascii="Times New Roman" w:hAnsi="Times New Roman" w:cs="Times New Roman"/>
        </w:rPr>
        <w:t xml:space="preserve">divisive </w:t>
      </w:r>
      <w:r w:rsidRPr="00E0326D">
        <w:rPr>
          <w:rFonts w:ascii="Times New Roman" w:hAnsi="Times New Roman" w:cs="Times New Roman"/>
        </w:rPr>
        <w:t xml:space="preserve">narratives. By combining historical analysis with media framing, this project aims to provide a fuller understanding of why genocide claims have gained such </w:t>
      </w:r>
      <w:r w:rsidR="006038C5">
        <w:rPr>
          <w:rFonts w:ascii="Times New Roman" w:hAnsi="Times New Roman" w:cs="Times New Roman"/>
        </w:rPr>
        <w:t>traction.</w:t>
      </w:r>
    </w:p>
    <w:p w14:paraId="6CC5B876" w14:textId="013C11AE" w:rsidR="00EB512F" w:rsidRPr="00EB512F" w:rsidRDefault="00EB512F" w:rsidP="00EB512F">
      <w:pPr>
        <w:spacing w:line="480" w:lineRule="auto"/>
        <w:ind w:firstLine="720"/>
        <w:rPr>
          <w:rFonts w:ascii="Times New Roman" w:hAnsi="Times New Roman" w:cs="Times New Roman"/>
        </w:rPr>
      </w:pPr>
      <w:r w:rsidRPr="00EB512F">
        <w:rPr>
          <w:rFonts w:ascii="Times New Roman" w:hAnsi="Times New Roman" w:cs="Times New Roman"/>
        </w:rPr>
        <w:t xml:space="preserve">Zionism emerged in the late nineteenth century as a political movement seeking to establish a Jewish national homeland in Palestine. Its ideological foundation was shaped by rising European nationalism, intensifying antisemitism, and the belief that Jewish safety required political sovereignty. These pressures were not conceptual. Across Europe, Jews faced exclusion from political life, limits on property ownership, and periodic outbreaks of violence. Zionism developed as a response to this political climate, offering a </w:t>
      </w:r>
      <w:r w:rsidR="006F43C6">
        <w:rPr>
          <w:rFonts w:ascii="Times New Roman" w:hAnsi="Times New Roman" w:cs="Times New Roman"/>
        </w:rPr>
        <w:t>Jewish movement</w:t>
      </w:r>
      <w:r w:rsidRPr="00EB512F">
        <w:rPr>
          <w:rFonts w:ascii="Times New Roman" w:hAnsi="Times New Roman" w:cs="Times New Roman"/>
        </w:rPr>
        <w:t xml:space="preserve"> of collective security through territorial </w:t>
      </w:r>
      <w:r w:rsidR="006F43C6">
        <w:rPr>
          <w:rFonts w:ascii="Times New Roman" w:hAnsi="Times New Roman" w:cs="Times New Roman"/>
        </w:rPr>
        <w:t>self-determination</w:t>
      </w:r>
      <w:r w:rsidRPr="00EB512F">
        <w:rPr>
          <w:rFonts w:ascii="Times New Roman" w:hAnsi="Times New Roman" w:cs="Times New Roman"/>
        </w:rPr>
        <w:t>.</w:t>
      </w:r>
    </w:p>
    <w:p w14:paraId="7842723C" w14:textId="3A98B2DC" w:rsidR="00EB512F" w:rsidRPr="00EB512F" w:rsidRDefault="00EB512F" w:rsidP="00EB512F">
      <w:pPr>
        <w:spacing w:line="480" w:lineRule="auto"/>
        <w:ind w:firstLine="720"/>
        <w:rPr>
          <w:rFonts w:ascii="Times New Roman" w:hAnsi="Times New Roman" w:cs="Times New Roman"/>
        </w:rPr>
      </w:pPr>
      <w:r w:rsidRPr="00EB512F">
        <w:rPr>
          <w:rFonts w:ascii="Times New Roman" w:hAnsi="Times New Roman" w:cs="Times New Roman"/>
        </w:rPr>
        <w:t xml:space="preserve">Theodor Herzl played a central role in transforming this idea into a coherent political program. In </w:t>
      </w:r>
      <w:r w:rsidRPr="00EB512F">
        <w:rPr>
          <w:rFonts w:ascii="Times New Roman" w:hAnsi="Times New Roman" w:cs="Times New Roman"/>
          <w:i/>
          <w:iCs/>
        </w:rPr>
        <w:t>The Jewish State</w:t>
      </w:r>
      <w:r w:rsidRPr="00EB512F">
        <w:rPr>
          <w:rFonts w:ascii="Times New Roman" w:hAnsi="Times New Roman" w:cs="Times New Roman"/>
        </w:rPr>
        <w:t xml:space="preserve">, written in 1896, Herzl argued that Jews needed “a state of our own,” framing sovereignty as the only durable solution to European exclusion (Herzl 1896). Herzl believed that antisemitism was a permanent feature of European society and that Jewish safety required the creation of a political entity capable of exercising control over land, borders, and migration. His ideas shifted Zionism from a cultural aspiration to a political movement </w:t>
      </w:r>
      <w:r w:rsidRPr="00EB512F">
        <w:rPr>
          <w:rFonts w:ascii="Times New Roman" w:hAnsi="Times New Roman" w:cs="Times New Roman"/>
        </w:rPr>
        <w:lastRenderedPageBreak/>
        <w:t>grounded in territorial claims. Herzl also emphasized the need for international recognition, arguing that the success of the movement depended on securing support from major world powers. This emphasis on diplomacy shaped the strategies of later Zionist leaders and set the stage for the political developments of the early twentieth century.</w:t>
      </w:r>
    </w:p>
    <w:p w14:paraId="2825733D" w14:textId="09D8BB60" w:rsidR="00EB512F" w:rsidRPr="00EB512F" w:rsidRDefault="00EB512F" w:rsidP="00EB512F">
      <w:pPr>
        <w:spacing w:line="480" w:lineRule="auto"/>
        <w:ind w:firstLine="720"/>
        <w:rPr>
          <w:rFonts w:ascii="Times New Roman" w:hAnsi="Times New Roman" w:cs="Times New Roman"/>
        </w:rPr>
      </w:pPr>
      <w:r w:rsidRPr="00EB512F">
        <w:rPr>
          <w:rFonts w:ascii="Times New Roman" w:hAnsi="Times New Roman" w:cs="Times New Roman"/>
        </w:rPr>
        <w:t xml:space="preserve">These diplomatic efforts </w:t>
      </w:r>
      <w:r w:rsidR="006F43C6">
        <w:rPr>
          <w:rFonts w:ascii="Times New Roman" w:hAnsi="Times New Roman" w:cs="Times New Roman"/>
        </w:rPr>
        <w:t xml:space="preserve">peaked </w:t>
      </w:r>
      <w:r w:rsidRPr="00EB512F">
        <w:rPr>
          <w:rFonts w:ascii="Times New Roman" w:hAnsi="Times New Roman" w:cs="Times New Roman"/>
        </w:rPr>
        <w:t>in 1917 with the issuance of the Balfour Declaration, a letter written by British Foreign Secretary Arthur Balfour to Lord Walter Rothschild, a prominent British Zionist and member of one of the most influential banking families in Europe. The letter expressed Britain’s support for “the establishment in Palestine of a national home for the Jewish people,” giving Zionism its first major endorsement from a world power (Khalidi 2020, 24). This declaration marked the beginning of formal imperial support for Zionist colonization and solidified Britain’s political alignment with the movement.</w:t>
      </w:r>
    </w:p>
    <w:p w14:paraId="3FC2C659" w14:textId="7745AAAA" w:rsidR="00EB512F" w:rsidRPr="00EB512F" w:rsidRDefault="00EB512F" w:rsidP="00EB512F">
      <w:pPr>
        <w:spacing w:line="480" w:lineRule="auto"/>
        <w:ind w:firstLine="720"/>
        <w:rPr>
          <w:rFonts w:ascii="Times New Roman" w:hAnsi="Times New Roman" w:cs="Times New Roman"/>
        </w:rPr>
      </w:pPr>
      <w:r w:rsidRPr="00EB512F">
        <w:rPr>
          <w:rFonts w:ascii="Times New Roman" w:hAnsi="Times New Roman" w:cs="Times New Roman"/>
        </w:rPr>
        <w:t xml:space="preserve">The decision to address the declaration to </w:t>
      </w:r>
      <w:r w:rsidR="006F43C6">
        <w:rPr>
          <w:rFonts w:ascii="Times New Roman" w:hAnsi="Times New Roman" w:cs="Times New Roman"/>
        </w:rPr>
        <w:t>a member of the</w:t>
      </w:r>
      <w:r w:rsidRPr="00EB512F">
        <w:rPr>
          <w:rFonts w:ascii="Times New Roman" w:hAnsi="Times New Roman" w:cs="Times New Roman"/>
        </w:rPr>
        <w:t xml:space="preserve"> Rothschild </w:t>
      </w:r>
      <w:r w:rsidR="006F43C6">
        <w:rPr>
          <w:rFonts w:ascii="Times New Roman" w:hAnsi="Times New Roman" w:cs="Times New Roman"/>
        </w:rPr>
        <w:t xml:space="preserve">family </w:t>
      </w:r>
      <w:r w:rsidRPr="00EB512F">
        <w:rPr>
          <w:rFonts w:ascii="Times New Roman" w:hAnsi="Times New Roman" w:cs="Times New Roman"/>
        </w:rPr>
        <w:t xml:space="preserve">was not incidental. The Rothschilds had become a central force in European political and economic life. </w:t>
      </w:r>
      <w:r w:rsidR="006F43C6">
        <w:rPr>
          <w:rFonts w:ascii="Times New Roman" w:hAnsi="Times New Roman" w:cs="Times New Roman"/>
        </w:rPr>
        <w:t>T</w:t>
      </w:r>
      <w:r w:rsidRPr="00EB512F">
        <w:rPr>
          <w:rFonts w:ascii="Times New Roman" w:hAnsi="Times New Roman" w:cs="Times New Roman"/>
        </w:rPr>
        <w:t xml:space="preserve">he House of Rothschild was “far and away the largest bank in the world” during the century between the end of the Napoleonic Wars and the beginning of the First World War, a multinational firm that “commanded the financial markets and held the fate of governments in its hands” (Kuper 2001, 273). Their influence extended across multiple capitals, and their financial networks connected governments, markets, and diplomatic circles. The family operated as a private partnership built on the management of its own capital, and its strength came from an unusual degree of internal </w:t>
      </w:r>
      <w:r w:rsidR="00F76B67" w:rsidRPr="00EB512F">
        <w:rPr>
          <w:rFonts w:ascii="Times New Roman" w:hAnsi="Times New Roman" w:cs="Times New Roman"/>
        </w:rPr>
        <w:t>unity.</w:t>
      </w:r>
      <w:r w:rsidR="00F76B67">
        <w:rPr>
          <w:rFonts w:ascii="Times New Roman" w:hAnsi="Times New Roman" w:cs="Times New Roman"/>
        </w:rPr>
        <w:t xml:space="preserve"> Their </w:t>
      </w:r>
      <w:r w:rsidR="00D53ED6">
        <w:rPr>
          <w:rFonts w:ascii="Times New Roman" w:hAnsi="Times New Roman" w:cs="Times New Roman"/>
        </w:rPr>
        <w:t>banks'</w:t>
      </w:r>
      <w:r w:rsidR="00F76B67">
        <w:rPr>
          <w:rFonts w:ascii="Times New Roman" w:hAnsi="Times New Roman" w:cs="Times New Roman"/>
        </w:rPr>
        <w:t xml:space="preserve"> </w:t>
      </w:r>
      <w:r w:rsidRPr="00EB512F">
        <w:rPr>
          <w:rFonts w:ascii="Times New Roman" w:hAnsi="Times New Roman" w:cs="Times New Roman"/>
        </w:rPr>
        <w:t xml:space="preserve">five branches in London, Paris, Frankfurt, Vienna, and Naples were bound together through a system of cooperation that made them the most powerful banking network of the era. This </w:t>
      </w:r>
      <w:r w:rsidR="00780CB9">
        <w:rPr>
          <w:rFonts w:ascii="Times New Roman" w:hAnsi="Times New Roman" w:cs="Times New Roman"/>
        </w:rPr>
        <w:t>precise coordination</w:t>
      </w:r>
      <w:r w:rsidRPr="00EB512F">
        <w:rPr>
          <w:rFonts w:ascii="Times New Roman" w:hAnsi="Times New Roman" w:cs="Times New Roman"/>
        </w:rPr>
        <w:t xml:space="preserve"> was reinforced through deliberate strategies of family solidarity, including endogamous marriage practices and strict rules of </w:t>
      </w:r>
      <w:r w:rsidR="00D53ED6" w:rsidRPr="00EB512F">
        <w:rPr>
          <w:rFonts w:ascii="Times New Roman" w:hAnsi="Times New Roman" w:cs="Times New Roman"/>
        </w:rPr>
        <w:lastRenderedPageBreak/>
        <w:t>succession</w:t>
      </w:r>
      <w:r w:rsidR="00D53ED6">
        <w:rPr>
          <w:rFonts w:ascii="Times New Roman" w:hAnsi="Times New Roman" w:cs="Times New Roman"/>
        </w:rPr>
        <w:t>”</w:t>
      </w:r>
      <w:r w:rsidR="00F76B67" w:rsidRPr="00EB512F">
        <w:rPr>
          <w:rFonts w:ascii="Times New Roman" w:hAnsi="Times New Roman" w:cs="Times New Roman"/>
        </w:rPr>
        <w:t xml:space="preserve"> (Kuper 2001, 27</w:t>
      </w:r>
      <w:r w:rsidR="00F76B67">
        <w:rPr>
          <w:rFonts w:ascii="Times New Roman" w:hAnsi="Times New Roman" w:cs="Times New Roman"/>
        </w:rPr>
        <w:t xml:space="preserve">8). </w:t>
      </w:r>
      <w:r w:rsidRPr="00EB512F">
        <w:rPr>
          <w:rFonts w:ascii="Times New Roman" w:hAnsi="Times New Roman" w:cs="Times New Roman"/>
        </w:rPr>
        <w:t xml:space="preserve">Because of this influence, the British government viewed </w:t>
      </w:r>
      <w:r w:rsidR="006F43C6">
        <w:rPr>
          <w:rFonts w:ascii="Times New Roman" w:hAnsi="Times New Roman" w:cs="Times New Roman"/>
        </w:rPr>
        <w:t>the</w:t>
      </w:r>
      <w:r w:rsidRPr="00EB512F">
        <w:rPr>
          <w:rFonts w:ascii="Times New Roman" w:hAnsi="Times New Roman" w:cs="Times New Roman"/>
        </w:rPr>
        <w:t xml:space="preserve"> Rothschild </w:t>
      </w:r>
      <w:r w:rsidR="006F43C6">
        <w:rPr>
          <w:rFonts w:ascii="Times New Roman" w:hAnsi="Times New Roman" w:cs="Times New Roman"/>
        </w:rPr>
        <w:t xml:space="preserve">family as key </w:t>
      </w:r>
      <w:r w:rsidR="00F76B67">
        <w:rPr>
          <w:rFonts w:ascii="Times New Roman" w:hAnsi="Times New Roman" w:cs="Times New Roman"/>
        </w:rPr>
        <w:t xml:space="preserve">endorsers </w:t>
      </w:r>
      <w:r w:rsidRPr="00EB512F">
        <w:rPr>
          <w:rFonts w:ascii="Times New Roman" w:hAnsi="Times New Roman" w:cs="Times New Roman"/>
        </w:rPr>
        <w:t xml:space="preserve">for </w:t>
      </w:r>
      <w:r w:rsidR="006F43C6">
        <w:rPr>
          <w:rFonts w:ascii="Times New Roman" w:hAnsi="Times New Roman" w:cs="Times New Roman"/>
        </w:rPr>
        <w:t xml:space="preserve">the Zionist movement. </w:t>
      </w:r>
      <w:r w:rsidRPr="00EB512F">
        <w:rPr>
          <w:rFonts w:ascii="Times New Roman" w:hAnsi="Times New Roman" w:cs="Times New Roman"/>
        </w:rPr>
        <w:t xml:space="preserve"> </w:t>
      </w:r>
      <w:r w:rsidR="00F76B67">
        <w:rPr>
          <w:rFonts w:ascii="Times New Roman" w:hAnsi="Times New Roman" w:cs="Times New Roman"/>
        </w:rPr>
        <w:t xml:space="preserve">This </w:t>
      </w:r>
      <w:r w:rsidR="00D53ED6">
        <w:rPr>
          <w:rFonts w:ascii="Times New Roman" w:hAnsi="Times New Roman" w:cs="Times New Roman"/>
        </w:rPr>
        <w:t>declaration</w:t>
      </w:r>
      <w:r w:rsidRPr="00EB512F">
        <w:rPr>
          <w:rFonts w:ascii="Times New Roman" w:hAnsi="Times New Roman" w:cs="Times New Roman"/>
        </w:rPr>
        <w:t xml:space="preserve"> signaled that Britain was aligning itself with a movement backed by elite networks and international legitimacy, while also reflecting Britain</w:t>
      </w:r>
      <w:r w:rsidR="006F43C6">
        <w:rPr>
          <w:rFonts w:ascii="Times New Roman" w:hAnsi="Times New Roman" w:cs="Times New Roman"/>
        </w:rPr>
        <w:t xml:space="preserve"> and the West’s </w:t>
      </w:r>
      <w:r w:rsidRPr="00EB512F">
        <w:rPr>
          <w:rFonts w:ascii="Times New Roman" w:hAnsi="Times New Roman" w:cs="Times New Roman"/>
        </w:rPr>
        <w:t xml:space="preserve">strategic </w:t>
      </w:r>
      <w:r w:rsidR="00780CB9">
        <w:rPr>
          <w:rFonts w:ascii="Times New Roman" w:hAnsi="Times New Roman" w:cs="Times New Roman"/>
        </w:rPr>
        <w:t xml:space="preserve">and colonial </w:t>
      </w:r>
      <w:r w:rsidRPr="00EB512F">
        <w:rPr>
          <w:rFonts w:ascii="Times New Roman" w:hAnsi="Times New Roman" w:cs="Times New Roman"/>
        </w:rPr>
        <w:t>interests in the Middle East as the Ottoman Empire collapsed.</w:t>
      </w:r>
    </w:p>
    <w:p w14:paraId="2E402058" w14:textId="5184CC22" w:rsidR="00EB512F" w:rsidRDefault="00EB512F" w:rsidP="00EB512F">
      <w:pPr>
        <w:spacing w:line="480" w:lineRule="auto"/>
        <w:ind w:firstLine="720"/>
        <w:rPr>
          <w:rFonts w:ascii="Times New Roman" w:hAnsi="Times New Roman" w:cs="Times New Roman"/>
        </w:rPr>
      </w:pPr>
      <w:r w:rsidRPr="00EB512F">
        <w:rPr>
          <w:rFonts w:ascii="Times New Roman" w:hAnsi="Times New Roman" w:cs="Times New Roman"/>
        </w:rPr>
        <w:t xml:space="preserve">This </w:t>
      </w:r>
      <w:r w:rsidR="00780CB9">
        <w:rPr>
          <w:rFonts w:ascii="Times New Roman" w:hAnsi="Times New Roman" w:cs="Times New Roman"/>
        </w:rPr>
        <w:t xml:space="preserve">political </w:t>
      </w:r>
      <w:r w:rsidR="00C57F95">
        <w:rPr>
          <w:rFonts w:ascii="Times New Roman" w:hAnsi="Times New Roman" w:cs="Times New Roman"/>
        </w:rPr>
        <w:t>alignment</w:t>
      </w:r>
      <w:r w:rsidR="00780CB9">
        <w:rPr>
          <w:rFonts w:ascii="Times New Roman" w:hAnsi="Times New Roman" w:cs="Times New Roman"/>
        </w:rPr>
        <w:t xml:space="preserve"> </w:t>
      </w:r>
      <w:r w:rsidRPr="00EB512F">
        <w:rPr>
          <w:rFonts w:ascii="Times New Roman" w:hAnsi="Times New Roman" w:cs="Times New Roman"/>
        </w:rPr>
        <w:t xml:space="preserve">became formally solidified in 1922 when the League of Nations issued its Mandate for Palestine. The Mandate remodeled Britain’s support for Zionism into an international legal obligation. It granted the Zionist movement national rights in Palestine while denying similar recognition to the Arab majority. The Mandate’s </w:t>
      </w:r>
      <w:r w:rsidR="00F76B67">
        <w:rPr>
          <w:rFonts w:ascii="Times New Roman" w:hAnsi="Times New Roman" w:cs="Times New Roman"/>
        </w:rPr>
        <w:t>twenty-eight</w:t>
      </w:r>
      <w:r w:rsidRPr="00EB512F">
        <w:rPr>
          <w:rFonts w:ascii="Times New Roman" w:hAnsi="Times New Roman" w:cs="Times New Roman"/>
        </w:rPr>
        <w:t xml:space="preserve"> articles avoided the terms </w:t>
      </w:r>
      <w:r w:rsidR="00F76B67">
        <w:rPr>
          <w:rFonts w:ascii="Times New Roman" w:hAnsi="Times New Roman" w:cs="Times New Roman"/>
        </w:rPr>
        <w:t>“</w:t>
      </w:r>
      <w:r w:rsidRPr="00EB512F">
        <w:rPr>
          <w:rFonts w:ascii="Times New Roman" w:hAnsi="Times New Roman" w:cs="Times New Roman"/>
        </w:rPr>
        <w:t>Arab</w:t>
      </w:r>
      <w:r w:rsidR="00F76B67">
        <w:rPr>
          <w:rFonts w:ascii="Times New Roman" w:hAnsi="Times New Roman" w:cs="Times New Roman"/>
        </w:rPr>
        <w:t>”</w:t>
      </w:r>
      <w:r w:rsidRPr="00EB512F">
        <w:rPr>
          <w:rFonts w:ascii="Times New Roman" w:hAnsi="Times New Roman" w:cs="Times New Roman"/>
        </w:rPr>
        <w:t xml:space="preserve"> and </w:t>
      </w:r>
      <w:r w:rsidR="00F76B67">
        <w:rPr>
          <w:rFonts w:ascii="Times New Roman" w:hAnsi="Times New Roman" w:cs="Times New Roman"/>
        </w:rPr>
        <w:t>“</w:t>
      </w:r>
      <w:r w:rsidRPr="00EB512F">
        <w:rPr>
          <w:rFonts w:ascii="Times New Roman" w:hAnsi="Times New Roman" w:cs="Times New Roman"/>
        </w:rPr>
        <w:t>Palestinian</w:t>
      </w:r>
      <w:r w:rsidR="00F76B67">
        <w:rPr>
          <w:rFonts w:ascii="Times New Roman" w:hAnsi="Times New Roman" w:cs="Times New Roman"/>
        </w:rPr>
        <w:t>”</w:t>
      </w:r>
      <w:r w:rsidRPr="00EB512F">
        <w:rPr>
          <w:rFonts w:ascii="Times New Roman" w:hAnsi="Times New Roman" w:cs="Times New Roman"/>
        </w:rPr>
        <w:t xml:space="preserve"> entirely, erasing the indigenous population from the legal framework and denying them any historical or political claim to the land (Khalidi 2020, 34). By embedding Zionist aims into the governing structure of the territory, the Mandate created a political system in which Zionist institutions were encouraged to expand their authority while Palestinian political aspirations were </w:t>
      </w:r>
      <w:r w:rsidR="00780CB9">
        <w:rPr>
          <w:rFonts w:ascii="Times New Roman" w:hAnsi="Times New Roman" w:cs="Times New Roman"/>
        </w:rPr>
        <w:t xml:space="preserve">continuously </w:t>
      </w:r>
      <w:r w:rsidRPr="00EB512F">
        <w:rPr>
          <w:rFonts w:ascii="Times New Roman" w:hAnsi="Times New Roman" w:cs="Times New Roman"/>
        </w:rPr>
        <w:t xml:space="preserve">ignored. </w:t>
      </w:r>
    </w:p>
    <w:p w14:paraId="35367024" w14:textId="3A1B5FE9" w:rsidR="001C6145" w:rsidRP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 xml:space="preserve">After the Mandate </w:t>
      </w:r>
      <w:r w:rsidR="00780CB9">
        <w:rPr>
          <w:rFonts w:ascii="Times New Roman" w:hAnsi="Times New Roman" w:cs="Times New Roman"/>
        </w:rPr>
        <w:t>infiltrated</w:t>
      </w:r>
      <w:r w:rsidRPr="001C6145">
        <w:rPr>
          <w:rFonts w:ascii="Times New Roman" w:hAnsi="Times New Roman" w:cs="Times New Roman"/>
        </w:rPr>
        <w:t xml:space="preserve"> Zionist aims into the governing structure of Palestine and denied political recognition to the Arab majority, Britain eventually announced that it would end its rule. This decision did not come with a plan for a stable transition. Instead, Britain left behind a territory marked by demographic imbalance, rising violence, and two national movements that had developed under entirely different political conditions. Zionist institutions had grown stronger under the Mandate, building administrative bodies, paramilitary organizations, and international alliances. Palestinians, by contrast, faced political fragmentation, land dispossession, and the </w:t>
      </w:r>
      <w:r w:rsidR="00C57F95">
        <w:rPr>
          <w:rFonts w:ascii="Times New Roman" w:hAnsi="Times New Roman" w:cs="Times New Roman"/>
        </w:rPr>
        <w:t>ruining</w:t>
      </w:r>
      <w:r w:rsidRPr="001C6145">
        <w:rPr>
          <w:rFonts w:ascii="Times New Roman" w:hAnsi="Times New Roman" w:cs="Times New Roman"/>
        </w:rPr>
        <w:t xml:space="preserve"> of their social and economic foundations (Khalidi</w:t>
      </w:r>
      <w:r w:rsidR="00C47FC1">
        <w:rPr>
          <w:rFonts w:ascii="Times New Roman" w:hAnsi="Times New Roman" w:cs="Times New Roman"/>
        </w:rPr>
        <w:t xml:space="preserve"> 2020, 53</w:t>
      </w:r>
      <w:r w:rsidRPr="001C6145">
        <w:rPr>
          <w:rFonts w:ascii="Times New Roman" w:hAnsi="Times New Roman" w:cs="Times New Roman"/>
        </w:rPr>
        <w:t xml:space="preserve">). </w:t>
      </w:r>
      <w:r w:rsidRPr="001C6145">
        <w:rPr>
          <w:rFonts w:ascii="Times New Roman" w:hAnsi="Times New Roman" w:cs="Times New Roman"/>
        </w:rPr>
        <w:lastRenderedPageBreak/>
        <w:t xml:space="preserve">When Britain withdrew, it created a political </w:t>
      </w:r>
      <w:r w:rsidR="00C47FC1">
        <w:rPr>
          <w:rFonts w:ascii="Times New Roman" w:hAnsi="Times New Roman" w:cs="Times New Roman"/>
        </w:rPr>
        <w:t>catastrophe</w:t>
      </w:r>
      <w:r w:rsidRPr="001C6145">
        <w:rPr>
          <w:rFonts w:ascii="Times New Roman" w:hAnsi="Times New Roman" w:cs="Times New Roman"/>
        </w:rPr>
        <w:t xml:space="preserve"> that neither side was prepared to manage.</w:t>
      </w:r>
    </w:p>
    <w:p w14:paraId="0478D60B" w14:textId="46EEE3B5" w:rsidR="001C6145" w:rsidRP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With no governing structure left to oversee the end of its administration, Britain handed responsibility for the future of Palestine to the newly formed United Nations. The UN did not inherit a neutral dispute; it inherited a conflict shaped by decades of institutionalized inequality and the collapse of colonial authority. To address the crisis, the UN created the United Nations Special Committee on Palestine</w:t>
      </w:r>
      <w:r w:rsidR="00C47FC1">
        <w:rPr>
          <w:rFonts w:ascii="Times New Roman" w:hAnsi="Times New Roman" w:cs="Times New Roman"/>
        </w:rPr>
        <w:t xml:space="preserve"> (UNSCOP)</w:t>
      </w:r>
      <w:r w:rsidRPr="001C6145">
        <w:rPr>
          <w:rFonts w:ascii="Times New Roman" w:hAnsi="Times New Roman" w:cs="Times New Roman"/>
        </w:rPr>
        <w:t>, which was tasked with evaluating the situation and proposing a political arrangement to replace the Mandate. The committee’s recommendation for partition became the basis for Resolution 181,</w:t>
      </w:r>
      <w:r w:rsidR="00C47FC1">
        <w:rPr>
          <w:rFonts w:ascii="Times New Roman" w:hAnsi="Times New Roman" w:cs="Times New Roman"/>
        </w:rPr>
        <w:t xml:space="preserve"> a general assembly proposal created in 1947</w:t>
      </w:r>
      <w:r w:rsidR="00780CB9">
        <w:rPr>
          <w:rFonts w:ascii="Times New Roman" w:hAnsi="Times New Roman" w:cs="Times New Roman"/>
        </w:rPr>
        <w:t xml:space="preserve">, attempting </w:t>
      </w:r>
      <w:r w:rsidRPr="001C6145">
        <w:rPr>
          <w:rFonts w:ascii="Times New Roman" w:hAnsi="Times New Roman" w:cs="Times New Roman"/>
        </w:rPr>
        <w:t>to divide the land into a Jewish state and a Palestinian state</w:t>
      </w:r>
      <w:r w:rsidR="00780CB9">
        <w:rPr>
          <w:rFonts w:ascii="Times New Roman" w:hAnsi="Times New Roman" w:cs="Times New Roman"/>
        </w:rPr>
        <w:t xml:space="preserve"> (Bashir 2024, 108).</w:t>
      </w:r>
    </w:p>
    <w:p w14:paraId="2AB829FB" w14:textId="31C4907F" w:rsid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 xml:space="preserve">But the plan rested on the same structural imbalance that had defined the Mandate. Zionist institutions were politically organized, militarily prepared, and internationally connected. Palestinians entered this moment without comparable resources or unified leadership. As soon as the resolution passed, violence escalated. The political </w:t>
      </w:r>
      <w:r w:rsidR="00C47FC1">
        <w:rPr>
          <w:rFonts w:ascii="Times New Roman" w:hAnsi="Times New Roman" w:cs="Times New Roman"/>
        </w:rPr>
        <w:t xml:space="preserve">catastrophe </w:t>
      </w:r>
      <w:r w:rsidRPr="001C6145">
        <w:rPr>
          <w:rFonts w:ascii="Times New Roman" w:hAnsi="Times New Roman" w:cs="Times New Roman"/>
        </w:rPr>
        <w:t>created by Britain’s departure collided with the unequal power structure on the ground, and the conflict moved rapidly from political dispute to armed confrontation.</w:t>
      </w:r>
    </w:p>
    <w:p w14:paraId="13692029" w14:textId="3C6EAE91" w:rsidR="00C47FC1" w:rsidRPr="001C6145" w:rsidRDefault="00C47FC1" w:rsidP="001C6145">
      <w:pPr>
        <w:spacing w:line="480" w:lineRule="auto"/>
        <w:ind w:firstLine="720"/>
        <w:rPr>
          <w:rFonts w:ascii="Times New Roman" w:hAnsi="Times New Roman" w:cs="Times New Roman"/>
        </w:rPr>
      </w:pPr>
      <w:r>
        <w:rPr>
          <w:rFonts w:ascii="Times New Roman" w:hAnsi="Times New Roman" w:cs="Times New Roman"/>
        </w:rPr>
        <w:t>By the end of the fighting</w:t>
      </w:r>
      <w:r w:rsidRPr="00C47FC1">
        <w:rPr>
          <w:rFonts w:ascii="Times New Roman" w:hAnsi="Times New Roman" w:cs="Times New Roman"/>
        </w:rPr>
        <w:t>, Israel controlled roughly 77 percent of the total area of Palestine. The remaining 23 percent was divided between Jordan, which took control of the West Bank</w:t>
      </w:r>
      <w:r w:rsidR="00780CB9">
        <w:rPr>
          <w:rFonts w:ascii="Times New Roman" w:hAnsi="Times New Roman" w:cs="Times New Roman"/>
        </w:rPr>
        <w:t>,</w:t>
      </w:r>
      <w:r w:rsidRPr="00C47FC1">
        <w:rPr>
          <w:rFonts w:ascii="Times New Roman" w:hAnsi="Times New Roman" w:cs="Times New Roman"/>
        </w:rPr>
        <w:t xml:space="preserve"> including East Jerusalem, and Egypt, which administered the Gaza Strip</w:t>
      </w:r>
      <w:r>
        <w:rPr>
          <w:rFonts w:ascii="Times New Roman" w:hAnsi="Times New Roman" w:cs="Times New Roman"/>
        </w:rPr>
        <w:t xml:space="preserve"> (</w:t>
      </w:r>
      <w:r w:rsidRPr="001C6145">
        <w:rPr>
          <w:rFonts w:ascii="Times New Roman" w:hAnsi="Times New Roman" w:cs="Times New Roman"/>
        </w:rPr>
        <w:t>Sharoni and Abu</w:t>
      </w:r>
      <w:r w:rsidRPr="001C6145">
        <w:rPr>
          <w:rFonts w:ascii="Times New Roman" w:hAnsi="Times New Roman" w:cs="Times New Roman"/>
        </w:rPr>
        <w:noBreakHyphen/>
        <w:t>Nimer</w:t>
      </w:r>
      <w:r>
        <w:rPr>
          <w:rFonts w:ascii="Times New Roman" w:hAnsi="Times New Roman" w:cs="Times New Roman"/>
        </w:rPr>
        <w:t xml:space="preserve"> 2013, 189). </w:t>
      </w:r>
      <w:r w:rsidRPr="00C47FC1">
        <w:rPr>
          <w:rFonts w:ascii="Times New Roman" w:hAnsi="Times New Roman" w:cs="Times New Roman"/>
        </w:rPr>
        <w:t xml:space="preserve">This territorial outcome reflected the collapse of Palestinian society and the political </w:t>
      </w:r>
      <w:r w:rsidR="00780CB9">
        <w:rPr>
          <w:rFonts w:ascii="Times New Roman" w:hAnsi="Times New Roman" w:cs="Times New Roman"/>
        </w:rPr>
        <w:t xml:space="preserve">gap </w:t>
      </w:r>
      <w:r w:rsidRPr="00C47FC1">
        <w:rPr>
          <w:rFonts w:ascii="Times New Roman" w:hAnsi="Times New Roman" w:cs="Times New Roman"/>
        </w:rPr>
        <w:t>created by the end of the Mandate. It also marked the moment when the conflict shifted from a struggle over British policy to a struggle over survival, displacement, and the reorganization of the land itself.</w:t>
      </w:r>
    </w:p>
    <w:p w14:paraId="4FDE1781" w14:textId="77777777" w:rsidR="00C47FC1"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lastRenderedPageBreak/>
        <w:t xml:space="preserve">This is the context in which the Nakba began. </w:t>
      </w:r>
    </w:p>
    <w:p w14:paraId="762F4EAF" w14:textId="52CD7180" w:rsidR="001C6145" w:rsidRP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Zionist forces moved to secure strategic areas, major roads, and mixed cities, while Palestinian communities lacked the military capacity or political cohesion to defend themselves</w:t>
      </w:r>
      <w:r w:rsidR="00780CB9">
        <w:rPr>
          <w:rFonts w:ascii="Times New Roman" w:hAnsi="Times New Roman" w:cs="Times New Roman"/>
        </w:rPr>
        <w:t xml:space="preserve">, as fighting intensified. </w:t>
      </w:r>
      <w:r w:rsidRPr="001C6145">
        <w:rPr>
          <w:rFonts w:ascii="Times New Roman" w:hAnsi="Times New Roman" w:cs="Times New Roman"/>
        </w:rPr>
        <w:t xml:space="preserve">The collapse of local governance, combined with fear, forced flight, and direct </w:t>
      </w:r>
      <w:r w:rsidR="00C57F95">
        <w:rPr>
          <w:rFonts w:ascii="Times New Roman" w:hAnsi="Times New Roman" w:cs="Times New Roman"/>
        </w:rPr>
        <w:t>confrontation</w:t>
      </w:r>
      <w:r w:rsidRPr="001C6145">
        <w:rPr>
          <w:rFonts w:ascii="Times New Roman" w:hAnsi="Times New Roman" w:cs="Times New Roman"/>
        </w:rPr>
        <w:t>, led to the depopulation of hundreds of towns and villages. The displacement that followed was not a single event but a process rooted in the political and institutional inequalities of the Mandate period (Sharoni and Abu</w:t>
      </w:r>
      <w:r w:rsidRPr="001C6145">
        <w:rPr>
          <w:rFonts w:ascii="Times New Roman" w:hAnsi="Times New Roman" w:cs="Times New Roman"/>
        </w:rPr>
        <w:noBreakHyphen/>
        <w:t>Nimer</w:t>
      </w:r>
      <w:r w:rsidR="00C47FC1">
        <w:rPr>
          <w:rFonts w:ascii="Times New Roman" w:hAnsi="Times New Roman" w:cs="Times New Roman"/>
        </w:rPr>
        <w:t xml:space="preserve"> 2013, 200</w:t>
      </w:r>
      <w:r w:rsidRPr="001C6145">
        <w:rPr>
          <w:rFonts w:ascii="Times New Roman" w:hAnsi="Times New Roman" w:cs="Times New Roman"/>
        </w:rPr>
        <w:t xml:space="preserve">). By the end of the </w:t>
      </w:r>
      <w:r w:rsidR="00F84569">
        <w:rPr>
          <w:rFonts w:ascii="Times New Roman" w:hAnsi="Times New Roman" w:cs="Times New Roman"/>
        </w:rPr>
        <w:t>Nakba</w:t>
      </w:r>
      <w:r w:rsidRPr="001C6145">
        <w:rPr>
          <w:rFonts w:ascii="Times New Roman" w:hAnsi="Times New Roman" w:cs="Times New Roman"/>
        </w:rPr>
        <w:t xml:space="preserve">, the majority of Palestinians had been uprooted, and the social and political foundations of their society had been </w:t>
      </w:r>
      <w:r w:rsidR="00F84569">
        <w:rPr>
          <w:rFonts w:ascii="Times New Roman" w:hAnsi="Times New Roman" w:cs="Times New Roman"/>
        </w:rPr>
        <w:t>ruined.</w:t>
      </w:r>
    </w:p>
    <w:p w14:paraId="0FEA7AE0" w14:textId="72B186B7" w:rsidR="001C6145" w:rsidRP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The creation of Israel</w:t>
      </w:r>
      <w:r w:rsidR="00267510">
        <w:rPr>
          <w:rFonts w:ascii="Times New Roman" w:hAnsi="Times New Roman" w:cs="Times New Roman"/>
        </w:rPr>
        <w:t xml:space="preserve"> by the World Zionist Organization formalized</w:t>
      </w:r>
      <w:r w:rsidRPr="001C6145">
        <w:rPr>
          <w:rFonts w:ascii="Times New Roman" w:hAnsi="Times New Roman" w:cs="Times New Roman"/>
        </w:rPr>
        <w:t xml:space="preserve"> this transformation. Palestinians who remained inside the new state became a minority within a political system that defined itself as Jewish and structured its institutions accordingly. A military administration governed their movement, land access, and daily life, consolidating territorial control and managing a population that had survived mass displacement (Robinson</w:t>
      </w:r>
      <w:r w:rsidR="00267510">
        <w:rPr>
          <w:rFonts w:ascii="Times New Roman" w:hAnsi="Times New Roman" w:cs="Times New Roman"/>
        </w:rPr>
        <w:t xml:space="preserve"> 2013, 10</w:t>
      </w:r>
      <w:r w:rsidRPr="001C6145">
        <w:rPr>
          <w:rFonts w:ascii="Times New Roman" w:hAnsi="Times New Roman" w:cs="Times New Roman"/>
        </w:rPr>
        <w:t>). This system established patterns of governance that continued long after the end of military rule and shaped the political order that followed.</w:t>
      </w:r>
    </w:p>
    <w:p w14:paraId="31789B0C" w14:textId="25EF424F" w:rsidR="001C6145" w:rsidRP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The Nakba became the defining rupture that structured every later stage of the conflict. Palestinians inside Israel lived under military rule until the mid</w:t>
      </w:r>
      <w:r w:rsidRPr="001C6145">
        <w:rPr>
          <w:rFonts w:ascii="Times New Roman" w:hAnsi="Times New Roman" w:cs="Times New Roman"/>
        </w:rPr>
        <w:noBreakHyphen/>
        <w:t>1960s, while Palestinians in the West Bank and Gaza came under Israeli occupation after 1967</w:t>
      </w:r>
      <w:r w:rsidR="00267510">
        <w:rPr>
          <w:rFonts w:ascii="Times New Roman" w:hAnsi="Times New Roman" w:cs="Times New Roman"/>
        </w:rPr>
        <w:t xml:space="preserve"> (Kostakos and Zarogianni 2025, 145)</w:t>
      </w:r>
      <w:r w:rsidRPr="001C6145">
        <w:rPr>
          <w:rFonts w:ascii="Times New Roman" w:hAnsi="Times New Roman" w:cs="Times New Roman"/>
        </w:rPr>
        <w:t xml:space="preserve">. These systems extended the logic of the early state: control over land, fragmentation of Palestinian communities, and the </w:t>
      </w:r>
      <w:r w:rsidR="00F84569">
        <w:rPr>
          <w:rFonts w:ascii="Times New Roman" w:hAnsi="Times New Roman" w:cs="Times New Roman"/>
        </w:rPr>
        <w:t>domination</w:t>
      </w:r>
      <w:r w:rsidRPr="001C6145">
        <w:rPr>
          <w:rFonts w:ascii="Times New Roman" w:hAnsi="Times New Roman" w:cs="Times New Roman"/>
        </w:rPr>
        <w:t xml:space="preserve"> of Israeli authority. The occupation introduced new forms of settlement expansion, administrative control, and movement restrictions that deepened </w:t>
      </w:r>
      <w:r w:rsidRPr="001C6145">
        <w:rPr>
          <w:rFonts w:ascii="Times New Roman" w:hAnsi="Times New Roman" w:cs="Times New Roman"/>
        </w:rPr>
        <w:lastRenderedPageBreak/>
        <w:t xml:space="preserve">the </w:t>
      </w:r>
      <w:r w:rsidR="00F84569">
        <w:rPr>
          <w:rFonts w:ascii="Times New Roman" w:hAnsi="Times New Roman" w:cs="Times New Roman"/>
        </w:rPr>
        <w:t>displacement</w:t>
      </w:r>
      <w:r w:rsidRPr="001C6145">
        <w:rPr>
          <w:rFonts w:ascii="Times New Roman" w:hAnsi="Times New Roman" w:cs="Times New Roman"/>
        </w:rPr>
        <w:t xml:space="preserve"> that began in 1948</w:t>
      </w:r>
      <w:r w:rsidR="00267510">
        <w:rPr>
          <w:rFonts w:ascii="Times New Roman" w:hAnsi="Times New Roman" w:cs="Times New Roman"/>
        </w:rPr>
        <w:t xml:space="preserve">. </w:t>
      </w:r>
      <w:r w:rsidRPr="001C6145">
        <w:rPr>
          <w:rFonts w:ascii="Times New Roman" w:hAnsi="Times New Roman" w:cs="Times New Roman"/>
        </w:rPr>
        <w:t>These developments created the conditions that later produced the Gaza blockade and the recurring cycles of violence that define the modern period.</w:t>
      </w:r>
    </w:p>
    <w:p w14:paraId="7AE0F39F" w14:textId="0AE8D35D" w:rsid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At the same time, global media narratives reinforced these political structures. Dominant representations in U.S. discourse consistently portrayed Israelis as modern, democratic, and aligned with Western values, while Palestinians were depicted as unstable, dependent, or threatening. Palestinians were often reduced to broad categories rather than recognized as individuals with political agency or human vulnerability (Daniels</w:t>
      </w:r>
      <w:r w:rsidR="00267510">
        <w:rPr>
          <w:rFonts w:ascii="Times New Roman" w:hAnsi="Times New Roman" w:cs="Times New Roman"/>
        </w:rPr>
        <w:t xml:space="preserve"> 2025, 768-770</w:t>
      </w:r>
      <w:r w:rsidRPr="001C6145">
        <w:rPr>
          <w:rFonts w:ascii="Times New Roman" w:hAnsi="Times New Roman" w:cs="Times New Roman"/>
        </w:rPr>
        <w:t>). These narratives shaped how violence was interpreted and how responsibility was assigned, making it easier for powerful states</w:t>
      </w:r>
      <w:r w:rsidR="00F84569">
        <w:rPr>
          <w:rFonts w:ascii="Times New Roman" w:hAnsi="Times New Roman" w:cs="Times New Roman"/>
        </w:rPr>
        <w:t>, like the United States,</w:t>
      </w:r>
      <w:r w:rsidRPr="001C6145">
        <w:rPr>
          <w:rFonts w:ascii="Times New Roman" w:hAnsi="Times New Roman" w:cs="Times New Roman"/>
        </w:rPr>
        <w:t xml:space="preserve"> to justify political support for Israel and to marginalize Palestinian claims.</w:t>
      </w:r>
    </w:p>
    <w:p w14:paraId="3B18C060" w14:textId="3E7FE8B3" w:rsidR="00267510" w:rsidRDefault="00267510" w:rsidP="00267510">
      <w:pPr>
        <w:spacing w:line="480" w:lineRule="auto"/>
        <w:ind w:firstLine="720"/>
        <w:rPr>
          <w:rFonts w:ascii="Times New Roman" w:hAnsi="Times New Roman" w:cs="Times New Roman"/>
        </w:rPr>
      </w:pPr>
      <w:r>
        <w:rPr>
          <w:rFonts w:ascii="Times New Roman" w:hAnsi="Times New Roman" w:cs="Times New Roman"/>
        </w:rPr>
        <w:t>“Palestinian victims of violence are treated as faceless numbers or merely as Palestinians or Arabs, but not as individuals with lives worthy of empathy (</w:t>
      </w:r>
      <w:r w:rsidR="001D7A1B" w:rsidRPr="000E73CD">
        <w:rPr>
          <w:rFonts w:ascii="Times New Roman" w:hAnsi="Times New Roman" w:cs="Times New Roman"/>
        </w:rPr>
        <w:t>Chinonso</w:t>
      </w:r>
      <w:r>
        <w:rPr>
          <w:rFonts w:ascii="Times New Roman" w:hAnsi="Times New Roman" w:cs="Times New Roman"/>
        </w:rPr>
        <w:t xml:space="preserve"> and Iweama</w:t>
      </w:r>
      <w:r w:rsidR="00240676">
        <w:rPr>
          <w:rFonts w:ascii="Times New Roman" w:hAnsi="Times New Roman" w:cs="Times New Roman"/>
        </w:rPr>
        <w:t xml:space="preserve">, </w:t>
      </w:r>
      <w:r>
        <w:rPr>
          <w:rFonts w:ascii="Times New Roman" w:hAnsi="Times New Roman" w:cs="Times New Roman"/>
        </w:rPr>
        <w:t xml:space="preserve">87). </w:t>
      </w:r>
    </w:p>
    <w:p w14:paraId="22EF19EB" w14:textId="4947775C" w:rsidR="001C6145" w:rsidRDefault="001C6145" w:rsidP="001C6145">
      <w:pPr>
        <w:spacing w:line="480" w:lineRule="auto"/>
        <w:ind w:firstLine="720"/>
        <w:rPr>
          <w:rFonts w:ascii="Times New Roman" w:hAnsi="Times New Roman" w:cs="Times New Roman"/>
        </w:rPr>
      </w:pPr>
      <w:r w:rsidRPr="001C6145">
        <w:rPr>
          <w:rFonts w:ascii="Times New Roman" w:hAnsi="Times New Roman" w:cs="Times New Roman"/>
        </w:rPr>
        <w:t>Taken together, the Mandate’s legal erasure of Palestinians, Britain’s abrupt withdrawal, the UN’s limited capacity to enforce its decisions, the mass displacement of 1948, and the</w:t>
      </w:r>
      <w:r w:rsidR="00C57F95">
        <w:rPr>
          <w:rFonts w:ascii="Times New Roman" w:hAnsi="Times New Roman" w:cs="Times New Roman"/>
        </w:rPr>
        <w:t xml:space="preserve"> </w:t>
      </w:r>
      <w:r w:rsidRPr="001C6145">
        <w:rPr>
          <w:rFonts w:ascii="Times New Roman" w:hAnsi="Times New Roman" w:cs="Times New Roman"/>
        </w:rPr>
        <w:t>environment that followed form a continuous structure of dispossession. The Nakba did not end in 1948</w:t>
      </w:r>
      <w:r w:rsidR="00F84569">
        <w:rPr>
          <w:rFonts w:ascii="Times New Roman" w:hAnsi="Times New Roman" w:cs="Times New Roman"/>
        </w:rPr>
        <w:t>. Instead, i</w:t>
      </w:r>
      <w:r w:rsidRPr="001C6145">
        <w:rPr>
          <w:rFonts w:ascii="Times New Roman" w:hAnsi="Times New Roman" w:cs="Times New Roman"/>
        </w:rPr>
        <w:t xml:space="preserve">t established a political order in which Palestinians lived under military rule, faced systematic land expropriation, and were incorporated into the state only as a subordinated minority. These conditions shaped later conflicts, including </w:t>
      </w:r>
      <w:r w:rsidR="00267510">
        <w:rPr>
          <w:rFonts w:ascii="Times New Roman" w:hAnsi="Times New Roman" w:cs="Times New Roman"/>
        </w:rPr>
        <w:t>the long-term</w:t>
      </w:r>
      <w:r w:rsidRPr="001C6145">
        <w:rPr>
          <w:rFonts w:ascii="Times New Roman" w:hAnsi="Times New Roman" w:cs="Times New Roman"/>
        </w:rPr>
        <w:t xml:space="preserve"> blockade of Gaza, and they explain why </w:t>
      </w:r>
      <w:r w:rsidR="00F84569" w:rsidRPr="001C6145">
        <w:rPr>
          <w:rFonts w:ascii="Times New Roman" w:hAnsi="Times New Roman" w:cs="Times New Roman"/>
        </w:rPr>
        <w:t>present</w:t>
      </w:r>
      <w:r w:rsidRPr="001C6145">
        <w:rPr>
          <w:rFonts w:ascii="Times New Roman" w:hAnsi="Times New Roman" w:cs="Times New Roman"/>
        </w:rPr>
        <w:t xml:space="preserve"> violence is understood not as isolated events but as part of a continuous system rooted in the Mandate and </w:t>
      </w:r>
      <w:r w:rsidR="00267510">
        <w:rPr>
          <w:rFonts w:ascii="Times New Roman" w:hAnsi="Times New Roman" w:cs="Times New Roman"/>
        </w:rPr>
        <w:t>finalized</w:t>
      </w:r>
      <w:r w:rsidRPr="001C6145">
        <w:rPr>
          <w:rFonts w:ascii="Times New Roman" w:hAnsi="Times New Roman" w:cs="Times New Roman"/>
        </w:rPr>
        <w:t xml:space="preserve"> in 1948.</w:t>
      </w:r>
    </w:p>
    <w:p w14:paraId="29E87864" w14:textId="7FD94805" w:rsidR="00AC03C3"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The continuity of these structures is essential for understanding why present</w:t>
      </w:r>
      <w:r w:rsidRPr="00AC03C3">
        <w:rPr>
          <w:rFonts w:ascii="Times New Roman" w:hAnsi="Times New Roman" w:cs="Times New Roman"/>
        </w:rPr>
        <w:noBreakHyphen/>
        <w:t xml:space="preserve">day violence is interpreted through the lens of genocide. The historical trajectory of Zionist state formation, </w:t>
      </w:r>
      <w:r w:rsidRPr="00AC03C3">
        <w:rPr>
          <w:rFonts w:ascii="Times New Roman" w:hAnsi="Times New Roman" w:cs="Times New Roman"/>
        </w:rPr>
        <w:lastRenderedPageBreak/>
        <w:t xml:space="preserve">the Mandate’s legal erasure of Palestinians, the mass displacement of 1948, and the subsequent systems of occupation and blockade have created a political environment in which Palestinian life is shaped by recurring patterns of restricted autonomy. These patterns do not simply </w:t>
      </w:r>
      <w:r w:rsidR="00F84569">
        <w:rPr>
          <w:rFonts w:ascii="Times New Roman" w:hAnsi="Times New Roman" w:cs="Times New Roman"/>
        </w:rPr>
        <w:t xml:space="preserve">affect </w:t>
      </w:r>
      <w:r w:rsidRPr="00AC03C3">
        <w:rPr>
          <w:rFonts w:ascii="Times New Roman" w:hAnsi="Times New Roman" w:cs="Times New Roman"/>
        </w:rPr>
        <w:t>the past</w:t>
      </w:r>
      <w:r>
        <w:rPr>
          <w:rFonts w:ascii="Times New Roman" w:hAnsi="Times New Roman" w:cs="Times New Roman"/>
        </w:rPr>
        <w:t>, but are a continued structure of the present</w:t>
      </w:r>
      <w:r w:rsidR="00F84569">
        <w:rPr>
          <w:rFonts w:ascii="Times New Roman" w:hAnsi="Times New Roman" w:cs="Times New Roman"/>
        </w:rPr>
        <w:t>.</w:t>
      </w:r>
      <w:r w:rsidRPr="00AC03C3">
        <w:rPr>
          <w:rFonts w:ascii="Times New Roman" w:hAnsi="Times New Roman" w:cs="Times New Roman"/>
        </w:rPr>
        <w:t xml:space="preserve"> The conditions under which Palestinians live today</w:t>
      </w:r>
      <w:r>
        <w:rPr>
          <w:rFonts w:ascii="Times New Roman" w:hAnsi="Times New Roman" w:cs="Times New Roman"/>
        </w:rPr>
        <w:t xml:space="preserve">, particularly in Gaza, </w:t>
      </w:r>
      <w:r w:rsidRPr="00AC03C3">
        <w:rPr>
          <w:rFonts w:ascii="Times New Roman" w:hAnsi="Times New Roman" w:cs="Times New Roman"/>
        </w:rPr>
        <w:t>are the cumulative result of decisions made across multiple generations, each reinforcing the inequalities established in the early twentieth century.</w:t>
      </w:r>
    </w:p>
    <w:p w14:paraId="6E19DF81" w14:textId="1246F9E7" w:rsidR="0026190D"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 xml:space="preserve">The modern period of violence in Gaza cannot be separated from this longer history. Gaza’s population is overwhelmingly composed of refugees or descendants of refugees from the Nakba, and the territory has remained politically and economically isolated since 1948. After the </w:t>
      </w:r>
      <w:r w:rsidR="00F84569">
        <w:rPr>
          <w:rFonts w:ascii="Times New Roman" w:hAnsi="Times New Roman" w:cs="Times New Roman"/>
        </w:rPr>
        <w:t>outbreak</w:t>
      </w:r>
      <w:r w:rsidR="0026190D">
        <w:rPr>
          <w:rFonts w:ascii="Times New Roman" w:hAnsi="Times New Roman" w:cs="Times New Roman"/>
        </w:rPr>
        <w:t xml:space="preserve"> of the </w:t>
      </w:r>
      <w:r w:rsidRPr="00AC03C3">
        <w:rPr>
          <w:rFonts w:ascii="Times New Roman" w:hAnsi="Times New Roman" w:cs="Times New Roman"/>
        </w:rPr>
        <w:t xml:space="preserve">1967 war, Gaza came under direct Israeli occupation, and its borders, airspace, and coastline were placed under Israeli control. </w:t>
      </w:r>
      <w:r w:rsidR="0026190D" w:rsidRPr="001C6145">
        <w:rPr>
          <w:rFonts w:ascii="Times New Roman" w:hAnsi="Times New Roman" w:cs="Times New Roman"/>
        </w:rPr>
        <w:t>(Sharoni and Abu</w:t>
      </w:r>
      <w:r w:rsidR="0026190D" w:rsidRPr="001C6145">
        <w:rPr>
          <w:rFonts w:ascii="Times New Roman" w:hAnsi="Times New Roman" w:cs="Times New Roman"/>
        </w:rPr>
        <w:noBreakHyphen/>
        <w:t>Nimer</w:t>
      </w:r>
      <w:r w:rsidR="0026190D">
        <w:rPr>
          <w:rFonts w:ascii="Times New Roman" w:hAnsi="Times New Roman" w:cs="Times New Roman"/>
        </w:rPr>
        <w:t xml:space="preserve"> 2013,</w:t>
      </w:r>
      <w:r w:rsidR="00240676">
        <w:rPr>
          <w:rFonts w:ascii="Times New Roman" w:hAnsi="Times New Roman" w:cs="Times New Roman"/>
        </w:rPr>
        <w:t xml:space="preserve"> </w:t>
      </w:r>
      <w:r w:rsidR="0026190D">
        <w:rPr>
          <w:rFonts w:ascii="Times New Roman" w:hAnsi="Times New Roman" w:cs="Times New Roman"/>
        </w:rPr>
        <w:t xml:space="preserve">183). </w:t>
      </w:r>
      <w:r w:rsidRPr="00AC03C3">
        <w:rPr>
          <w:rFonts w:ascii="Times New Roman" w:hAnsi="Times New Roman" w:cs="Times New Roman"/>
        </w:rPr>
        <w:t xml:space="preserve">This arrangement created a system in which the daily lives of Palestinians were shaped by military orders, administrative restrictions, and the constant threat of violence. The occupation did not simply impose a temporary military presence; it reorganized the political and economic structures of the territory in ways that limited Palestinian </w:t>
      </w:r>
      <w:r w:rsidR="00F84569">
        <w:rPr>
          <w:rFonts w:ascii="Times New Roman" w:hAnsi="Times New Roman" w:cs="Times New Roman"/>
        </w:rPr>
        <w:t>freedom and autonomy. History was repeating itself over and over again for the Palestinians.</w:t>
      </w:r>
    </w:p>
    <w:p w14:paraId="3037F6AF" w14:textId="03E71FCE" w:rsidR="005D06A2" w:rsidRDefault="005D06A2" w:rsidP="005D06A2">
      <w:pPr>
        <w:spacing w:line="480" w:lineRule="auto"/>
        <w:ind w:firstLine="720"/>
        <w:rPr>
          <w:rFonts w:ascii="Times New Roman" w:hAnsi="Times New Roman" w:cs="Times New Roman"/>
        </w:rPr>
      </w:pPr>
      <w:r w:rsidRPr="005D06A2">
        <w:rPr>
          <w:rFonts w:ascii="Times New Roman" w:hAnsi="Times New Roman" w:cs="Times New Roman"/>
        </w:rPr>
        <w:t>This historical continuity is what made the events of October 7, 2023</w:t>
      </w:r>
      <w:r>
        <w:rPr>
          <w:rFonts w:ascii="Times New Roman" w:hAnsi="Times New Roman" w:cs="Times New Roman"/>
        </w:rPr>
        <w:t>,</w:t>
      </w:r>
      <w:r w:rsidRPr="005D06A2">
        <w:rPr>
          <w:rFonts w:ascii="Times New Roman" w:hAnsi="Times New Roman" w:cs="Times New Roman"/>
        </w:rPr>
        <w:t xml:space="preserve"> so consequential. The attack by Hamas</w:t>
      </w:r>
      <w:r>
        <w:rPr>
          <w:rFonts w:ascii="Times New Roman" w:hAnsi="Times New Roman" w:cs="Times New Roman"/>
        </w:rPr>
        <w:t xml:space="preserve">, the </w:t>
      </w:r>
      <w:r w:rsidRPr="005D06A2">
        <w:rPr>
          <w:rFonts w:ascii="Times New Roman" w:hAnsi="Times New Roman" w:cs="Times New Roman"/>
        </w:rPr>
        <w:t>Islamic Resistance Movement</w:t>
      </w:r>
      <w:r>
        <w:rPr>
          <w:rFonts w:ascii="Times New Roman" w:hAnsi="Times New Roman" w:cs="Times New Roman"/>
        </w:rPr>
        <w:t>,</w:t>
      </w:r>
      <w:r w:rsidRPr="005D06A2">
        <w:rPr>
          <w:rFonts w:ascii="Times New Roman" w:hAnsi="Times New Roman" w:cs="Times New Roman"/>
        </w:rPr>
        <w:t xml:space="preserve"> and the killing of Israeli civilians was immediately framed as a rupture, a moment that “changed everything.” But for Palestinians, the Israeli response that followed was interpreted</w:t>
      </w:r>
      <w:r w:rsidR="00F84569">
        <w:rPr>
          <w:rFonts w:ascii="Times New Roman" w:hAnsi="Times New Roman" w:cs="Times New Roman"/>
        </w:rPr>
        <w:t xml:space="preserve"> and remembered</w:t>
      </w:r>
      <w:r w:rsidRPr="005D06A2">
        <w:rPr>
          <w:rFonts w:ascii="Times New Roman" w:hAnsi="Times New Roman" w:cs="Times New Roman"/>
        </w:rPr>
        <w:t xml:space="preserve"> through a much longer history of displacement, occupation, and blockade. The meaning of October 7 cannot be separated from the structures that </w:t>
      </w:r>
      <w:r>
        <w:rPr>
          <w:rFonts w:ascii="Times New Roman" w:hAnsi="Times New Roman" w:cs="Times New Roman"/>
        </w:rPr>
        <w:t>came before it.</w:t>
      </w:r>
      <w:r w:rsidRPr="005D06A2">
        <w:rPr>
          <w:rFonts w:ascii="Times New Roman" w:hAnsi="Times New Roman" w:cs="Times New Roman"/>
        </w:rPr>
        <w:t xml:space="preserve"> The attack triggered a massive Israeli military campaign in Gaza, </w:t>
      </w:r>
      <w:r w:rsidRPr="005D06A2">
        <w:rPr>
          <w:rFonts w:ascii="Times New Roman" w:hAnsi="Times New Roman" w:cs="Times New Roman"/>
        </w:rPr>
        <w:lastRenderedPageBreak/>
        <w:t>but the scale and nature of that campaign were shaped by the political geography created after 1948 and intensified after 1967.</w:t>
      </w:r>
    </w:p>
    <w:p w14:paraId="2662B5AC" w14:textId="47EDC33F" w:rsidR="00AC03C3" w:rsidRPr="00AC03C3" w:rsidRDefault="005D06A2" w:rsidP="00AC03C3">
      <w:pPr>
        <w:spacing w:line="480" w:lineRule="auto"/>
        <w:ind w:firstLine="720"/>
        <w:rPr>
          <w:rFonts w:ascii="Times New Roman" w:hAnsi="Times New Roman" w:cs="Times New Roman"/>
        </w:rPr>
      </w:pPr>
      <w:r>
        <w:rPr>
          <w:rFonts w:ascii="Times New Roman" w:hAnsi="Times New Roman" w:cs="Times New Roman"/>
        </w:rPr>
        <w:t>Blockades imposed</w:t>
      </w:r>
      <w:r w:rsidR="00AC03C3" w:rsidRPr="00AC03C3">
        <w:rPr>
          <w:rFonts w:ascii="Times New Roman" w:hAnsi="Times New Roman" w:cs="Times New Roman"/>
        </w:rPr>
        <w:t xml:space="preserve"> </w:t>
      </w:r>
      <w:r w:rsidR="0026190D">
        <w:rPr>
          <w:rFonts w:ascii="Times New Roman" w:hAnsi="Times New Roman" w:cs="Times New Roman"/>
        </w:rPr>
        <w:t>over time by the occupation</w:t>
      </w:r>
      <w:r w:rsidR="00AC03C3" w:rsidRPr="00AC03C3">
        <w:rPr>
          <w:rFonts w:ascii="Times New Roman" w:hAnsi="Times New Roman" w:cs="Times New Roman"/>
        </w:rPr>
        <w:t xml:space="preserve"> intensified these conditions. By restricting the movement of people and goods, the blockade</w:t>
      </w:r>
      <w:r>
        <w:rPr>
          <w:rFonts w:ascii="Times New Roman" w:hAnsi="Times New Roman" w:cs="Times New Roman"/>
        </w:rPr>
        <w:t>s</w:t>
      </w:r>
      <w:r w:rsidR="00AC03C3" w:rsidRPr="00AC03C3">
        <w:rPr>
          <w:rFonts w:ascii="Times New Roman" w:hAnsi="Times New Roman" w:cs="Times New Roman"/>
        </w:rPr>
        <w:t xml:space="preserve"> create a humanitarian crisis that international institutions repeatedly described as unsustainable. Access to clean water, electricity, medical supplies, and basic infrastructure became </w:t>
      </w:r>
      <w:r>
        <w:rPr>
          <w:rFonts w:ascii="Times New Roman" w:hAnsi="Times New Roman" w:cs="Times New Roman"/>
        </w:rPr>
        <w:t>dependent</w:t>
      </w:r>
      <w:r w:rsidR="00AC03C3" w:rsidRPr="00AC03C3">
        <w:rPr>
          <w:rFonts w:ascii="Times New Roman" w:hAnsi="Times New Roman" w:cs="Times New Roman"/>
        </w:rPr>
        <w:t xml:space="preserve"> on Israeli policy decisions, leaving Gaza’s population vulnerable to shortages and systemic deprivation. These conditions were not incidental; they were the result of a political system that controlled the territory’s borders, economy, and access to essential resources. The blockade</w:t>
      </w:r>
      <w:r>
        <w:rPr>
          <w:rFonts w:ascii="Times New Roman" w:hAnsi="Times New Roman" w:cs="Times New Roman"/>
        </w:rPr>
        <w:t>s have</w:t>
      </w:r>
      <w:r w:rsidR="00AC03C3" w:rsidRPr="00AC03C3">
        <w:rPr>
          <w:rFonts w:ascii="Times New Roman" w:hAnsi="Times New Roman" w:cs="Times New Roman"/>
        </w:rPr>
        <w:t xml:space="preserve"> transformed Gaza into a space where the destruction of infrastructure during military operations </w:t>
      </w:r>
      <w:r>
        <w:rPr>
          <w:rFonts w:ascii="Times New Roman" w:hAnsi="Times New Roman" w:cs="Times New Roman"/>
        </w:rPr>
        <w:t>has long-term</w:t>
      </w:r>
      <w:r w:rsidR="00AC03C3" w:rsidRPr="00AC03C3">
        <w:rPr>
          <w:rFonts w:ascii="Times New Roman" w:hAnsi="Times New Roman" w:cs="Times New Roman"/>
        </w:rPr>
        <w:t xml:space="preserve"> consequences for civilian life.</w:t>
      </w:r>
    </w:p>
    <w:p w14:paraId="33E06093" w14:textId="3F059D7D" w:rsidR="00AC03C3" w:rsidRPr="00AC03C3"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Large</w:t>
      </w:r>
      <w:r w:rsidRPr="00AC03C3">
        <w:rPr>
          <w:rFonts w:ascii="Times New Roman" w:hAnsi="Times New Roman" w:cs="Times New Roman"/>
        </w:rPr>
        <w:noBreakHyphen/>
        <w:t>scale military operations in Gaza must be understood within this context. The destruction of homes, schools, hospitals, and public infrastructure occurs within a territory already defined by extreme vulnerability. When military campaigns target densely populated areas, the effects are amplified by the blockade’s restrictions on reconstruction and humanitarian aid</w:t>
      </w:r>
      <w:r w:rsidR="001D7A1B">
        <w:rPr>
          <w:rFonts w:ascii="Times New Roman" w:hAnsi="Times New Roman" w:cs="Times New Roman"/>
        </w:rPr>
        <w:t xml:space="preserve"> (Khalil 2020, 168).</w:t>
      </w:r>
      <w:r w:rsidRPr="00AC03C3">
        <w:rPr>
          <w:rFonts w:ascii="Times New Roman" w:hAnsi="Times New Roman" w:cs="Times New Roman"/>
        </w:rPr>
        <w:t xml:space="preserve"> The result is a cycle in which each </w:t>
      </w:r>
      <w:r w:rsidR="00F84569">
        <w:rPr>
          <w:rFonts w:ascii="Times New Roman" w:hAnsi="Times New Roman" w:cs="Times New Roman"/>
        </w:rPr>
        <w:t>wave</w:t>
      </w:r>
      <w:r w:rsidRPr="00AC03C3">
        <w:rPr>
          <w:rFonts w:ascii="Times New Roman" w:hAnsi="Times New Roman" w:cs="Times New Roman"/>
        </w:rPr>
        <w:t xml:space="preserve"> of violence deepens the humanitarian crisis and further erodes the conditions necessary for civilian survival. This dynamic is central to contemporary genocide allegations, which focus not only on acts of killing but on the creation of conditions that make life unsustainable for a particular population.</w:t>
      </w:r>
    </w:p>
    <w:p w14:paraId="41E5C01E" w14:textId="43448D06" w:rsidR="00AC03C3" w:rsidRPr="00AC03C3"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 xml:space="preserve">The legal definition of genocide emphasizes intent, but the lived experience of </w:t>
      </w:r>
      <w:r w:rsidR="0026190D">
        <w:rPr>
          <w:rFonts w:ascii="Times New Roman" w:hAnsi="Times New Roman" w:cs="Times New Roman"/>
        </w:rPr>
        <w:t xml:space="preserve">everyday </w:t>
      </w:r>
      <w:r w:rsidRPr="00AC03C3">
        <w:rPr>
          <w:rFonts w:ascii="Times New Roman" w:hAnsi="Times New Roman" w:cs="Times New Roman"/>
        </w:rPr>
        <w:t xml:space="preserve">Palestinians is shaped by structures that produce widespread harm regardless of stated intentions. The destruction of civilian infrastructure, the restriction of essential resources, and the displacement of large segments of the population all contribute to conditions that threaten the </w:t>
      </w:r>
      <w:r w:rsidRPr="00AC03C3">
        <w:rPr>
          <w:rFonts w:ascii="Times New Roman" w:hAnsi="Times New Roman" w:cs="Times New Roman"/>
        </w:rPr>
        <w:lastRenderedPageBreak/>
        <w:t>survival of the Palestinian people</w:t>
      </w:r>
      <w:r w:rsidR="0026190D">
        <w:rPr>
          <w:rFonts w:ascii="Times New Roman" w:hAnsi="Times New Roman" w:cs="Times New Roman"/>
        </w:rPr>
        <w:t xml:space="preserve"> (Robinson 2013, 10).</w:t>
      </w:r>
      <w:r w:rsidRPr="00AC03C3">
        <w:rPr>
          <w:rFonts w:ascii="Times New Roman" w:hAnsi="Times New Roman" w:cs="Times New Roman"/>
        </w:rPr>
        <w:t xml:space="preserve"> These conditions are not temporary or accidental; they are the product of a political system that has evolved over decades to manage and contain Palestinian life. The historical continuity of these structures is what gives genocide allegations their </w:t>
      </w:r>
      <w:r w:rsidR="00F84569">
        <w:rPr>
          <w:rFonts w:ascii="Times New Roman" w:hAnsi="Times New Roman" w:cs="Times New Roman"/>
        </w:rPr>
        <w:t>power</w:t>
      </w:r>
      <w:r w:rsidRPr="00AC03C3">
        <w:rPr>
          <w:rFonts w:ascii="Times New Roman" w:hAnsi="Times New Roman" w:cs="Times New Roman"/>
        </w:rPr>
        <w:t>. They are not claims about a single event but about a</w:t>
      </w:r>
      <w:r w:rsidR="00F84569">
        <w:rPr>
          <w:rFonts w:ascii="Times New Roman" w:hAnsi="Times New Roman" w:cs="Times New Roman"/>
        </w:rPr>
        <w:t xml:space="preserve">n imperialist </w:t>
      </w:r>
      <w:r w:rsidRPr="00AC03C3">
        <w:rPr>
          <w:rFonts w:ascii="Times New Roman" w:hAnsi="Times New Roman" w:cs="Times New Roman"/>
        </w:rPr>
        <w:t>system that has shaped Palestinian life across generations.</w:t>
      </w:r>
    </w:p>
    <w:p w14:paraId="26081B23" w14:textId="6B3F7A54" w:rsidR="00AC03C3" w:rsidRPr="00AC03C3"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Media narratives play a crucial role in shaping how this system is understood. U.S. discourse consistently portrays Israelis as modern, democratic, and aligned with Western values, while Palestinians are depicted as unstable, dependent, or threatening</w:t>
      </w:r>
      <w:r w:rsidR="0026190D">
        <w:rPr>
          <w:rFonts w:ascii="Times New Roman" w:hAnsi="Times New Roman" w:cs="Times New Roman"/>
        </w:rPr>
        <w:t xml:space="preserve"> </w:t>
      </w:r>
      <w:r w:rsidR="0026190D" w:rsidRPr="001C054C">
        <w:rPr>
          <w:rFonts w:ascii="Times New Roman" w:hAnsi="Times New Roman" w:cs="Times New Roman"/>
        </w:rPr>
        <w:t xml:space="preserve">(Daniels 2025, 768–770). </w:t>
      </w:r>
      <w:r w:rsidRPr="00AC03C3">
        <w:rPr>
          <w:rFonts w:ascii="Times New Roman" w:hAnsi="Times New Roman" w:cs="Times New Roman"/>
        </w:rPr>
        <w:t xml:space="preserve"> These representations influence public opinion and political decision</w:t>
      </w:r>
      <w:r w:rsidRPr="00AC03C3">
        <w:rPr>
          <w:rFonts w:ascii="Times New Roman" w:hAnsi="Times New Roman" w:cs="Times New Roman"/>
        </w:rPr>
        <w:noBreakHyphen/>
        <w:t xml:space="preserve">making, making it easier for powerful states to justify support for Israeli policies and harder for Palestinian claims to gain recognition. The dehumanization of Palestinians in global discourse reinforces the political structures that emerged during the Mandate and the Nakba, making it more difficult to address the underlying causes of the conflict. When Palestinian suffering is portrayed as </w:t>
      </w:r>
      <w:r w:rsidR="00F84569">
        <w:rPr>
          <w:rFonts w:ascii="Times New Roman" w:hAnsi="Times New Roman" w:cs="Times New Roman"/>
        </w:rPr>
        <w:t>inevitable</w:t>
      </w:r>
      <w:r w:rsidR="005D06A2">
        <w:rPr>
          <w:rFonts w:ascii="Times New Roman" w:hAnsi="Times New Roman" w:cs="Times New Roman"/>
        </w:rPr>
        <w:t xml:space="preserve"> and swift,</w:t>
      </w:r>
      <w:r w:rsidRPr="00AC03C3">
        <w:rPr>
          <w:rFonts w:ascii="Times New Roman" w:hAnsi="Times New Roman" w:cs="Times New Roman"/>
        </w:rPr>
        <w:t xml:space="preserve"> the structural nature of the violence becomes harder to see.</w:t>
      </w:r>
    </w:p>
    <w:p w14:paraId="1B43BEC6" w14:textId="1370F165" w:rsidR="00AC03C3" w:rsidRPr="00AC03C3" w:rsidRDefault="00F84569" w:rsidP="00240676">
      <w:pPr>
        <w:spacing w:line="480" w:lineRule="auto"/>
        <w:ind w:firstLine="720"/>
        <w:rPr>
          <w:rFonts w:ascii="Times New Roman" w:hAnsi="Times New Roman" w:cs="Times New Roman"/>
        </w:rPr>
      </w:pPr>
      <w:r>
        <w:rPr>
          <w:rFonts w:ascii="Times New Roman" w:hAnsi="Times New Roman" w:cs="Times New Roman"/>
        </w:rPr>
        <w:t>This environment</w:t>
      </w:r>
      <w:r w:rsidR="00AC03C3" w:rsidRPr="00AC03C3">
        <w:rPr>
          <w:rFonts w:ascii="Times New Roman" w:hAnsi="Times New Roman" w:cs="Times New Roman"/>
        </w:rPr>
        <w:t xml:space="preserve"> reinforces the political structures that limit Palestinian </w:t>
      </w:r>
      <w:r w:rsidR="005D06A2">
        <w:rPr>
          <w:rFonts w:ascii="Times New Roman" w:hAnsi="Times New Roman" w:cs="Times New Roman"/>
        </w:rPr>
        <w:t xml:space="preserve">rights </w:t>
      </w:r>
      <w:r w:rsidR="00AC03C3" w:rsidRPr="00AC03C3">
        <w:rPr>
          <w:rFonts w:ascii="Times New Roman" w:hAnsi="Times New Roman" w:cs="Times New Roman"/>
        </w:rPr>
        <w:t>and contribute to the conditions under which they live. The dehumanization of Palestinians in media and political discourse is therefore not separate from the material conditions of the conflict; it is part of the same</w:t>
      </w:r>
      <w:r w:rsidR="005D06A2">
        <w:rPr>
          <w:rFonts w:ascii="Times New Roman" w:hAnsi="Times New Roman" w:cs="Times New Roman"/>
        </w:rPr>
        <w:t xml:space="preserve"> system.</w:t>
      </w:r>
      <w:r w:rsidR="00240676">
        <w:rPr>
          <w:rFonts w:ascii="Times New Roman" w:hAnsi="Times New Roman" w:cs="Times New Roman"/>
        </w:rPr>
        <w:t xml:space="preserve">  </w:t>
      </w:r>
      <w:r w:rsidR="00AC03C3" w:rsidRPr="00AC03C3">
        <w:rPr>
          <w:rFonts w:ascii="Times New Roman" w:hAnsi="Times New Roman" w:cs="Times New Roman"/>
        </w:rPr>
        <w:t xml:space="preserve">Understanding genocide allegations today requires recognizing how these </w:t>
      </w:r>
      <w:r w:rsidR="005D06A2">
        <w:rPr>
          <w:rFonts w:ascii="Times New Roman" w:hAnsi="Times New Roman" w:cs="Times New Roman"/>
        </w:rPr>
        <w:t xml:space="preserve">historical </w:t>
      </w:r>
      <w:r w:rsidR="00AC03C3" w:rsidRPr="00AC03C3">
        <w:rPr>
          <w:rFonts w:ascii="Times New Roman" w:hAnsi="Times New Roman" w:cs="Times New Roman"/>
        </w:rPr>
        <w:t>structures interact. The political system that governs Palestinian life is not only enforced through military power and administrative control; it is also sustained through narratives that justify or obscure the effects of that system. The combination of structural violence and</w:t>
      </w:r>
      <w:r w:rsidR="00240676">
        <w:rPr>
          <w:rFonts w:ascii="Times New Roman" w:hAnsi="Times New Roman" w:cs="Times New Roman"/>
        </w:rPr>
        <w:t xml:space="preserve"> consistent</w:t>
      </w:r>
      <w:r w:rsidR="00AC03C3" w:rsidRPr="00AC03C3">
        <w:rPr>
          <w:rFonts w:ascii="Times New Roman" w:hAnsi="Times New Roman" w:cs="Times New Roman"/>
        </w:rPr>
        <w:t xml:space="preserve"> erasure creates a context in which Palestinian suffering is both produced </w:t>
      </w:r>
      <w:r w:rsidR="00AC03C3" w:rsidRPr="00AC03C3">
        <w:rPr>
          <w:rFonts w:ascii="Times New Roman" w:hAnsi="Times New Roman" w:cs="Times New Roman"/>
        </w:rPr>
        <w:lastRenderedPageBreak/>
        <w:t>and minimized. This context is essential for understanding why genocide allegations resonate so strongly in the current moment.</w:t>
      </w:r>
    </w:p>
    <w:p w14:paraId="10FA65C9" w14:textId="77777777" w:rsidR="00AC03C3" w:rsidRPr="00AC03C3"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The historical analysis presented in this project shows that the conflict is not simply a matter of competing national claims or territorial disputes. It is a system of power that has evolved over more than a century to manage and contain a particular population. The structures established during the Mandate, intensified during the Nakba, and expanded through occupation and blockade have created conditions in which Palestinians face recurring threats to their survival. These conditions are not isolated incidents but part of a continuous system that shapes the political and social landscape of the region.</w:t>
      </w:r>
    </w:p>
    <w:p w14:paraId="168DF42F" w14:textId="77777777" w:rsidR="00F84569"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 xml:space="preserve">This continuity is what makes the genocide allegations so powerful. </w:t>
      </w:r>
    </w:p>
    <w:p w14:paraId="711F77CE" w14:textId="400E1A45" w:rsidR="00AC03C3" w:rsidRPr="00AC03C3"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The</w:t>
      </w:r>
      <w:r w:rsidR="00F84569">
        <w:rPr>
          <w:rFonts w:ascii="Times New Roman" w:hAnsi="Times New Roman" w:cs="Times New Roman"/>
        </w:rPr>
        <w:t>se</w:t>
      </w:r>
      <w:r w:rsidRPr="00AC03C3">
        <w:rPr>
          <w:rFonts w:ascii="Times New Roman" w:hAnsi="Times New Roman" w:cs="Times New Roman"/>
        </w:rPr>
        <w:t xml:space="preserve"> are not claims about a single event or a single military operation; they are claims about a system that has produced widespread harm across generations. The legal definition of genocide focuses on intent, but the historical trajectory of the conflict shows that the effects of the system are consistent with the destruction of a national group in whole or in part. Whether or not these claims meet the legal threshold for genocide, they reflect a broader understanding of the conflict as a system of domination that threatens the survival of the Palestinian people.</w:t>
      </w:r>
    </w:p>
    <w:p w14:paraId="5F4404FB" w14:textId="32F9D737" w:rsidR="00AC03C3" w:rsidRPr="00AC03C3" w:rsidRDefault="00AC03C3" w:rsidP="00AC03C3">
      <w:pPr>
        <w:spacing w:line="480" w:lineRule="auto"/>
        <w:ind w:firstLine="720"/>
        <w:rPr>
          <w:rFonts w:ascii="Times New Roman" w:hAnsi="Times New Roman" w:cs="Times New Roman"/>
        </w:rPr>
      </w:pPr>
      <w:r w:rsidRPr="00AC03C3">
        <w:rPr>
          <w:rFonts w:ascii="Times New Roman" w:hAnsi="Times New Roman" w:cs="Times New Roman"/>
        </w:rPr>
        <w:t xml:space="preserve">The relevance of this analysis extends beyond the immediate context of Gaza. It speaks to broader questions about human rights, international law, and the responsibilities of global institutions. The United Nations, which played a central role in the early stages of the conflict, continues to </w:t>
      </w:r>
      <w:r w:rsidR="00440AFC">
        <w:rPr>
          <w:rFonts w:ascii="Times New Roman" w:hAnsi="Times New Roman" w:cs="Times New Roman"/>
        </w:rPr>
        <w:t xml:space="preserve">deal </w:t>
      </w:r>
      <w:r w:rsidRPr="00AC03C3">
        <w:rPr>
          <w:rFonts w:ascii="Times New Roman" w:hAnsi="Times New Roman" w:cs="Times New Roman"/>
        </w:rPr>
        <w:t>with the consequences of decisions made during the Mandate process. The organization’s limited capacity to enforce its resolutions and protect vulnerable populations raises questions about the effectiveness of international law in addressing long</w:t>
      </w:r>
      <w:r w:rsidRPr="00AC03C3">
        <w:rPr>
          <w:rFonts w:ascii="Times New Roman" w:hAnsi="Times New Roman" w:cs="Times New Roman"/>
        </w:rPr>
        <w:noBreakHyphen/>
        <w:t xml:space="preserve">term systems of </w:t>
      </w:r>
      <w:r w:rsidRPr="00AC03C3">
        <w:rPr>
          <w:rFonts w:ascii="Times New Roman" w:hAnsi="Times New Roman" w:cs="Times New Roman"/>
        </w:rPr>
        <w:lastRenderedPageBreak/>
        <w:t>structural violence</w:t>
      </w:r>
      <w:r w:rsidR="001D7A1B">
        <w:rPr>
          <w:rFonts w:ascii="Times New Roman" w:hAnsi="Times New Roman" w:cs="Times New Roman"/>
        </w:rPr>
        <w:t xml:space="preserve"> (</w:t>
      </w:r>
      <w:r w:rsidR="001D7A1B" w:rsidRPr="000E73CD">
        <w:rPr>
          <w:rFonts w:ascii="Times New Roman" w:hAnsi="Times New Roman" w:cs="Times New Roman"/>
        </w:rPr>
        <w:t>Chinonso</w:t>
      </w:r>
      <w:r w:rsidR="001D7A1B">
        <w:rPr>
          <w:rFonts w:ascii="Times New Roman" w:hAnsi="Times New Roman" w:cs="Times New Roman"/>
        </w:rPr>
        <w:t xml:space="preserve"> and Iweama 2024, 86)</w:t>
      </w:r>
      <w:r w:rsidRPr="00AC03C3">
        <w:rPr>
          <w:rFonts w:ascii="Times New Roman" w:hAnsi="Times New Roman" w:cs="Times New Roman"/>
        </w:rPr>
        <w:t>. The genocide allegations highlight these limitations and challenge the international community to confront the historical roots of the conflict.</w:t>
      </w:r>
    </w:p>
    <w:p w14:paraId="1D7A927F" w14:textId="2B777C96" w:rsidR="00AC03C3" w:rsidRPr="00AC03C3" w:rsidRDefault="00BE1AA8" w:rsidP="00AC03C3">
      <w:pPr>
        <w:spacing w:line="480" w:lineRule="auto"/>
        <w:ind w:firstLine="720"/>
        <w:rPr>
          <w:rFonts w:ascii="Times New Roman" w:hAnsi="Times New Roman" w:cs="Times New Roman"/>
        </w:rPr>
      </w:pPr>
      <w:r>
        <w:rPr>
          <w:rFonts w:ascii="Times New Roman" w:hAnsi="Times New Roman" w:cs="Times New Roman"/>
        </w:rPr>
        <w:t>T</w:t>
      </w:r>
      <w:r w:rsidR="001D7A1B" w:rsidRPr="001D7A1B">
        <w:rPr>
          <w:rFonts w:ascii="Times New Roman" w:hAnsi="Times New Roman" w:cs="Times New Roman"/>
        </w:rPr>
        <w:t>he historical and analytical perspectives presented in this project show that the Israeli–Palestinian conflict cannot be understood without examining the long</w:t>
      </w:r>
      <w:r w:rsidR="001D7A1B" w:rsidRPr="001D7A1B">
        <w:rPr>
          <w:rFonts w:ascii="Times New Roman" w:hAnsi="Times New Roman" w:cs="Times New Roman"/>
        </w:rPr>
        <w:noBreakHyphen/>
        <w:t>term structures that shape Palestinian life. The genocide allegations that have emerged in recent years are rooted in this history and reflect a broader understanding of the conflict as a system of domination that threatens the survival of a national group. Whether or not these claims meet the legal threshold for genocide, they highlight the need for a deeper examination of the political, historical, and discursive structures that shape the conflict. They also underscore the urgency of addressing the conditions that have produced decades of displacement, fragmentation, and violence. Any meaningful effort to resolve the conflict or protect human rights must confront these historical roots directly, recognizing that the present cannot be separated from the past that produced it.</w:t>
      </w:r>
      <w:r w:rsidR="00AC03C3" w:rsidRPr="00AC03C3">
        <w:rPr>
          <w:rFonts w:ascii="Times New Roman" w:hAnsi="Times New Roman" w:cs="Times New Roman"/>
          <w:noProof/>
        </w:rPr>
        <w:drawing>
          <wp:inline distT="0" distB="0" distL="0" distR="0" wp14:anchorId="0904F012" wp14:editId="3F9A8986">
            <wp:extent cx="12700" cy="12700"/>
            <wp:effectExtent l="0" t="0" r="0" b="0"/>
            <wp:docPr id="1681060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67069E4" w14:textId="77777777" w:rsidR="00AC03C3" w:rsidRPr="001C6145" w:rsidRDefault="00AC03C3" w:rsidP="001C6145">
      <w:pPr>
        <w:spacing w:line="480" w:lineRule="auto"/>
        <w:ind w:firstLine="720"/>
        <w:rPr>
          <w:rFonts w:ascii="Times New Roman" w:hAnsi="Times New Roman" w:cs="Times New Roman"/>
        </w:rPr>
      </w:pPr>
    </w:p>
    <w:p w14:paraId="38E1E79B" w14:textId="77777777" w:rsidR="001C6145" w:rsidRDefault="001C6145" w:rsidP="00EB512F">
      <w:pPr>
        <w:spacing w:line="480" w:lineRule="auto"/>
        <w:ind w:firstLine="720"/>
        <w:rPr>
          <w:rFonts w:ascii="Times New Roman" w:hAnsi="Times New Roman" w:cs="Times New Roman"/>
        </w:rPr>
      </w:pPr>
    </w:p>
    <w:p w14:paraId="0F8FF365" w14:textId="77777777" w:rsidR="00BE1AA8" w:rsidRDefault="00BE1AA8" w:rsidP="00EB512F">
      <w:pPr>
        <w:spacing w:line="480" w:lineRule="auto"/>
        <w:ind w:firstLine="720"/>
        <w:rPr>
          <w:rFonts w:ascii="Times New Roman" w:hAnsi="Times New Roman" w:cs="Times New Roman"/>
        </w:rPr>
      </w:pPr>
    </w:p>
    <w:p w14:paraId="62CAFBFF" w14:textId="77777777" w:rsidR="00BE1AA8" w:rsidRDefault="00BE1AA8" w:rsidP="00EB512F">
      <w:pPr>
        <w:spacing w:line="480" w:lineRule="auto"/>
        <w:ind w:firstLine="720"/>
        <w:rPr>
          <w:rFonts w:ascii="Times New Roman" w:hAnsi="Times New Roman" w:cs="Times New Roman"/>
        </w:rPr>
      </w:pPr>
    </w:p>
    <w:p w14:paraId="4554DEFD" w14:textId="77777777" w:rsidR="00BE1AA8" w:rsidRDefault="00BE1AA8" w:rsidP="00EB512F">
      <w:pPr>
        <w:spacing w:line="480" w:lineRule="auto"/>
        <w:ind w:firstLine="720"/>
        <w:rPr>
          <w:rFonts w:ascii="Times New Roman" w:hAnsi="Times New Roman" w:cs="Times New Roman"/>
        </w:rPr>
      </w:pPr>
    </w:p>
    <w:p w14:paraId="3F767806" w14:textId="77777777" w:rsidR="00BE1AA8" w:rsidRDefault="00BE1AA8" w:rsidP="00EB512F">
      <w:pPr>
        <w:spacing w:line="480" w:lineRule="auto"/>
        <w:ind w:firstLine="720"/>
        <w:rPr>
          <w:rFonts w:ascii="Times New Roman" w:hAnsi="Times New Roman" w:cs="Times New Roman"/>
        </w:rPr>
      </w:pPr>
    </w:p>
    <w:p w14:paraId="4E16F33E" w14:textId="77777777" w:rsidR="00BE1AA8" w:rsidRDefault="00BE1AA8" w:rsidP="00EB512F">
      <w:pPr>
        <w:spacing w:line="480" w:lineRule="auto"/>
        <w:ind w:firstLine="720"/>
        <w:rPr>
          <w:rFonts w:ascii="Times New Roman" w:hAnsi="Times New Roman" w:cs="Times New Roman"/>
        </w:rPr>
      </w:pPr>
    </w:p>
    <w:p w14:paraId="12FBBC32"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lastRenderedPageBreak/>
        <w:t xml:space="preserve">Bashir, Mamoona. 2024. “United Nation’s Role in Conflict Resolution: An Analysis of Palestine–Israel Conflict.” </w:t>
      </w:r>
      <w:r w:rsidRPr="00240676">
        <w:rPr>
          <w:rFonts w:ascii="Times New Roman" w:hAnsi="Times New Roman" w:cs="Times New Roman"/>
          <w:i/>
          <w:iCs/>
        </w:rPr>
        <w:t>Journal of Arts and Social Sciences</w:t>
      </w:r>
      <w:r w:rsidRPr="00240676">
        <w:rPr>
          <w:rFonts w:ascii="Times New Roman" w:hAnsi="Times New Roman" w:cs="Times New Roman"/>
        </w:rPr>
        <w:t xml:space="preserve"> 11 (1): 107–121.</w:t>
      </w:r>
    </w:p>
    <w:p w14:paraId="5E6F9577"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Daniels, Timothy P. 2025. “Palestine–Israel Crisis: Are Elite Cultural Models Driving US Discourse?” </w:t>
      </w:r>
      <w:r w:rsidRPr="00240676">
        <w:rPr>
          <w:rFonts w:ascii="Times New Roman" w:hAnsi="Times New Roman" w:cs="Times New Roman"/>
          <w:i/>
          <w:iCs/>
        </w:rPr>
        <w:t>International Social Science Journal</w:t>
      </w:r>
      <w:r w:rsidRPr="00240676">
        <w:rPr>
          <w:rFonts w:ascii="Times New Roman" w:hAnsi="Times New Roman" w:cs="Times New Roman"/>
        </w:rPr>
        <w:t xml:space="preserve"> 75 (257): 767–776.</w:t>
      </w:r>
    </w:p>
    <w:p w14:paraId="79C5E51F"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Khalidi, Rashid. 2020. </w:t>
      </w:r>
      <w:r w:rsidRPr="00240676">
        <w:rPr>
          <w:rFonts w:ascii="Times New Roman" w:hAnsi="Times New Roman" w:cs="Times New Roman"/>
          <w:i/>
          <w:iCs/>
        </w:rPr>
        <w:t>The Hundred Years’ War on Palestine: A History of Settler Colonialism and Resistance, 1917–2017.</w:t>
      </w:r>
      <w:r w:rsidRPr="00240676">
        <w:rPr>
          <w:rFonts w:ascii="Times New Roman" w:hAnsi="Times New Roman" w:cs="Times New Roman"/>
        </w:rPr>
        <w:t xml:space="preserve"> New York: Metropolitan Books.</w:t>
      </w:r>
    </w:p>
    <w:p w14:paraId="37F3CFDF"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Kostakos, Georgios, and Fotini Zarogianni. 2025. “History of UN Involvement in the Israeli–Palestinian Conflict.” In </w:t>
      </w:r>
      <w:r w:rsidRPr="00240676">
        <w:rPr>
          <w:rFonts w:ascii="Times New Roman" w:hAnsi="Times New Roman" w:cs="Times New Roman"/>
          <w:i/>
          <w:iCs/>
        </w:rPr>
        <w:t>Revitalizing the United Nations.</w:t>
      </w:r>
    </w:p>
    <w:p w14:paraId="1F7A705C"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Kuper, Adam. 2001. “Fraternity and Endogamy: The House of Rothschild.” </w:t>
      </w:r>
      <w:r w:rsidRPr="00240676">
        <w:rPr>
          <w:rFonts w:ascii="Times New Roman" w:hAnsi="Times New Roman" w:cs="Times New Roman"/>
          <w:i/>
          <w:iCs/>
        </w:rPr>
        <w:t>Social Anthropology</w:t>
      </w:r>
      <w:r w:rsidRPr="00240676">
        <w:rPr>
          <w:rFonts w:ascii="Times New Roman" w:hAnsi="Times New Roman" w:cs="Times New Roman"/>
        </w:rPr>
        <w:t xml:space="preserve"> 9 (3): 273–287.</w:t>
      </w:r>
    </w:p>
    <w:p w14:paraId="373544CD"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Mark, Kingsley Chinonso, and Chidinma Stella Iweama. 2024. “Israeli–Palestinian War: The Role of the United Nations Peace Keeping Mission.” </w:t>
      </w:r>
      <w:r w:rsidRPr="00240676">
        <w:rPr>
          <w:rFonts w:ascii="Times New Roman" w:hAnsi="Times New Roman" w:cs="Times New Roman"/>
          <w:i/>
          <w:iCs/>
        </w:rPr>
        <w:t>ISRG Journal of Arts, Humanities and Social Sciences</w:t>
      </w:r>
      <w:r w:rsidRPr="00240676">
        <w:rPr>
          <w:rFonts w:ascii="Times New Roman" w:hAnsi="Times New Roman" w:cs="Times New Roman"/>
        </w:rPr>
        <w:t xml:space="preserve"> 2 (1): 85–88.</w:t>
      </w:r>
    </w:p>
    <w:p w14:paraId="119D3BFA"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Robinson, Shira. 2013. </w:t>
      </w:r>
      <w:r w:rsidRPr="00240676">
        <w:rPr>
          <w:rFonts w:ascii="Times New Roman" w:hAnsi="Times New Roman" w:cs="Times New Roman"/>
          <w:i/>
          <w:iCs/>
        </w:rPr>
        <w:t>Citizen Strangers: Palestinians and the Birth of Israel’s Liberal Settler State.</w:t>
      </w:r>
      <w:r w:rsidRPr="00240676">
        <w:rPr>
          <w:rFonts w:ascii="Times New Roman" w:hAnsi="Times New Roman" w:cs="Times New Roman"/>
        </w:rPr>
        <w:t xml:space="preserve"> Stanford, CA: Stanford University Press.</w:t>
      </w:r>
    </w:p>
    <w:p w14:paraId="58128E95"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Sharoni, Simona, and Mohammed Abu Nimer. 2013. “The Israeli–Palestinian Conflict.” In </w:t>
      </w:r>
      <w:r w:rsidRPr="00240676">
        <w:rPr>
          <w:rFonts w:ascii="Times New Roman" w:hAnsi="Times New Roman" w:cs="Times New Roman"/>
          <w:i/>
          <w:iCs/>
        </w:rPr>
        <w:t>Understanding the Contemporary Middle East</w:t>
      </w:r>
      <w:r w:rsidRPr="00240676">
        <w:rPr>
          <w:rFonts w:ascii="Times New Roman" w:hAnsi="Times New Roman" w:cs="Times New Roman"/>
        </w:rPr>
        <w:t>, edited by Deborah J. Gerner and Jillian Schwedler, 177–220. Boulder, CO: Lynne Rienner Publishers.</w:t>
      </w:r>
    </w:p>
    <w:p w14:paraId="5AF4BCC6" w14:textId="77777777" w:rsidR="00240676" w:rsidRPr="00240676" w:rsidRDefault="00240676" w:rsidP="00240676">
      <w:pPr>
        <w:spacing w:line="480" w:lineRule="auto"/>
        <w:rPr>
          <w:rFonts w:ascii="Times New Roman" w:hAnsi="Times New Roman" w:cs="Times New Roman"/>
        </w:rPr>
      </w:pPr>
      <w:r w:rsidRPr="00240676">
        <w:rPr>
          <w:rFonts w:ascii="Times New Roman" w:hAnsi="Times New Roman" w:cs="Times New Roman"/>
        </w:rPr>
        <w:t xml:space="preserve">United Nations General Assembly. 1948. </w:t>
      </w:r>
      <w:r w:rsidRPr="00240676">
        <w:rPr>
          <w:rFonts w:ascii="Times New Roman" w:hAnsi="Times New Roman" w:cs="Times New Roman"/>
          <w:i/>
          <w:iCs/>
        </w:rPr>
        <w:t>Convention on the Prevention and Punishment of the Crime of Genocide.</w:t>
      </w:r>
      <w:r w:rsidRPr="00240676">
        <w:rPr>
          <w:rFonts w:ascii="Times New Roman" w:hAnsi="Times New Roman" w:cs="Times New Roman"/>
        </w:rPr>
        <w:t xml:space="preserve"> New York: United Nations.</w:t>
      </w:r>
    </w:p>
    <w:p w14:paraId="5A6F92C0" w14:textId="77777777" w:rsidR="00EB512F" w:rsidRDefault="00EB512F" w:rsidP="002C1C48">
      <w:pPr>
        <w:spacing w:line="480" w:lineRule="auto"/>
        <w:rPr>
          <w:rFonts w:ascii="Times New Roman" w:hAnsi="Times New Roman" w:cs="Times New Roman"/>
        </w:rPr>
      </w:pPr>
    </w:p>
    <w:sectPr w:rsidR="00EB51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F0B00" w14:textId="77777777" w:rsidR="00185EF9" w:rsidRDefault="00185EF9" w:rsidP="00AC03C3">
      <w:pPr>
        <w:spacing w:after="0" w:line="240" w:lineRule="auto"/>
      </w:pPr>
      <w:r>
        <w:separator/>
      </w:r>
    </w:p>
  </w:endnote>
  <w:endnote w:type="continuationSeparator" w:id="0">
    <w:p w14:paraId="55EF8728" w14:textId="77777777" w:rsidR="00185EF9" w:rsidRDefault="00185EF9" w:rsidP="00AC0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FF1E6" w14:textId="77777777" w:rsidR="00185EF9" w:rsidRDefault="00185EF9" w:rsidP="00AC03C3">
      <w:pPr>
        <w:spacing w:after="0" w:line="240" w:lineRule="auto"/>
      </w:pPr>
      <w:r>
        <w:separator/>
      </w:r>
    </w:p>
  </w:footnote>
  <w:footnote w:type="continuationSeparator" w:id="0">
    <w:p w14:paraId="6C912651" w14:textId="77777777" w:rsidR="00185EF9" w:rsidRDefault="00185EF9" w:rsidP="00AC03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66FFD"/>
    <w:multiLevelType w:val="multilevel"/>
    <w:tmpl w:val="0C2C5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01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CA"/>
    <w:rsid w:val="00076C6B"/>
    <w:rsid w:val="000B2E7A"/>
    <w:rsid w:val="00185EF9"/>
    <w:rsid w:val="00192D8B"/>
    <w:rsid w:val="001B1D7C"/>
    <w:rsid w:val="001C02DD"/>
    <w:rsid w:val="001C6145"/>
    <w:rsid w:val="001D7A1B"/>
    <w:rsid w:val="00234421"/>
    <w:rsid w:val="00240676"/>
    <w:rsid w:val="0026190D"/>
    <w:rsid w:val="00267510"/>
    <w:rsid w:val="002C1C48"/>
    <w:rsid w:val="0032497B"/>
    <w:rsid w:val="00334144"/>
    <w:rsid w:val="00354AA2"/>
    <w:rsid w:val="003C14E6"/>
    <w:rsid w:val="003D5C26"/>
    <w:rsid w:val="00437BC3"/>
    <w:rsid w:val="00440AFC"/>
    <w:rsid w:val="004647F1"/>
    <w:rsid w:val="0050128A"/>
    <w:rsid w:val="00541D19"/>
    <w:rsid w:val="005D06A2"/>
    <w:rsid w:val="006038C5"/>
    <w:rsid w:val="006129CA"/>
    <w:rsid w:val="00621F52"/>
    <w:rsid w:val="006E489F"/>
    <w:rsid w:val="006F43C6"/>
    <w:rsid w:val="00780CB9"/>
    <w:rsid w:val="007D1E5C"/>
    <w:rsid w:val="008C7067"/>
    <w:rsid w:val="00933DA4"/>
    <w:rsid w:val="00A86B52"/>
    <w:rsid w:val="00AC03C3"/>
    <w:rsid w:val="00BA0392"/>
    <w:rsid w:val="00BB0EC7"/>
    <w:rsid w:val="00BE1AA8"/>
    <w:rsid w:val="00C47FC1"/>
    <w:rsid w:val="00C57F95"/>
    <w:rsid w:val="00D53ED6"/>
    <w:rsid w:val="00D63B18"/>
    <w:rsid w:val="00DA5569"/>
    <w:rsid w:val="00DB5706"/>
    <w:rsid w:val="00E0326D"/>
    <w:rsid w:val="00EB512F"/>
    <w:rsid w:val="00F76B67"/>
    <w:rsid w:val="00F84569"/>
    <w:rsid w:val="00FF2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1E197"/>
  <w15:chartTrackingRefBased/>
  <w15:docId w15:val="{63B7FDBC-0EEC-4289-B840-4C5ABE4E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9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9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9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9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9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9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9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9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9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9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9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9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9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9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9CA"/>
    <w:rPr>
      <w:rFonts w:eastAsiaTheme="majorEastAsia" w:cstheme="majorBidi"/>
      <w:color w:val="272727" w:themeColor="text1" w:themeTint="D8"/>
    </w:rPr>
  </w:style>
  <w:style w:type="paragraph" w:styleId="Title">
    <w:name w:val="Title"/>
    <w:basedOn w:val="Normal"/>
    <w:next w:val="Normal"/>
    <w:link w:val="TitleChar"/>
    <w:uiPriority w:val="10"/>
    <w:qFormat/>
    <w:rsid w:val="00612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9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9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9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9CA"/>
    <w:pPr>
      <w:spacing w:before="160"/>
      <w:jc w:val="center"/>
    </w:pPr>
    <w:rPr>
      <w:i/>
      <w:iCs/>
      <w:color w:val="404040" w:themeColor="text1" w:themeTint="BF"/>
    </w:rPr>
  </w:style>
  <w:style w:type="character" w:customStyle="1" w:styleId="QuoteChar">
    <w:name w:val="Quote Char"/>
    <w:basedOn w:val="DefaultParagraphFont"/>
    <w:link w:val="Quote"/>
    <w:uiPriority w:val="29"/>
    <w:rsid w:val="006129CA"/>
    <w:rPr>
      <w:i/>
      <w:iCs/>
      <w:color w:val="404040" w:themeColor="text1" w:themeTint="BF"/>
    </w:rPr>
  </w:style>
  <w:style w:type="paragraph" w:styleId="ListParagraph">
    <w:name w:val="List Paragraph"/>
    <w:basedOn w:val="Normal"/>
    <w:uiPriority w:val="34"/>
    <w:qFormat/>
    <w:rsid w:val="006129CA"/>
    <w:pPr>
      <w:ind w:left="720"/>
      <w:contextualSpacing/>
    </w:pPr>
  </w:style>
  <w:style w:type="character" w:styleId="IntenseEmphasis">
    <w:name w:val="Intense Emphasis"/>
    <w:basedOn w:val="DefaultParagraphFont"/>
    <w:uiPriority w:val="21"/>
    <w:qFormat/>
    <w:rsid w:val="006129CA"/>
    <w:rPr>
      <w:i/>
      <w:iCs/>
      <w:color w:val="0F4761" w:themeColor="accent1" w:themeShade="BF"/>
    </w:rPr>
  </w:style>
  <w:style w:type="paragraph" w:styleId="IntenseQuote">
    <w:name w:val="Intense Quote"/>
    <w:basedOn w:val="Normal"/>
    <w:next w:val="Normal"/>
    <w:link w:val="IntenseQuoteChar"/>
    <w:uiPriority w:val="30"/>
    <w:qFormat/>
    <w:rsid w:val="00612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9CA"/>
    <w:rPr>
      <w:i/>
      <w:iCs/>
      <w:color w:val="0F4761" w:themeColor="accent1" w:themeShade="BF"/>
    </w:rPr>
  </w:style>
  <w:style w:type="character" w:styleId="IntenseReference">
    <w:name w:val="Intense Reference"/>
    <w:basedOn w:val="DefaultParagraphFont"/>
    <w:uiPriority w:val="32"/>
    <w:qFormat/>
    <w:rsid w:val="006129CA"/>
    <w:rPr>
      <w:b/>
      <w:bCs/>
      <w:smallCaps/>
      <w:color w:val="0F4761" w:themeColor="accent1" w:themeShade="BF"/>
      <w:spacing w:val="5"/>
    </w:rPr>
  </w:style>
  <w:style w:type="paragraph" w:styleId="NormalWeb">
    <w:name w:val="Normal (Web)"/>
    <w:basedOn w:val="Normal"/>
    <w:uiPriority w:val="99"/>
    <w:semiHidden/>
    <w:unhideWhenUsed/>
    <w:rsid w:val="006038C5"/>
    <w:rPr>
      <w:rFonts w:ascii="Times New Roman" w:hAnsi="Times New Roman" w:cs="Times New Roman"/>
    </w:rPr>
  </w:style>
  <w:style w:type="paragraph" w:styleId="Header">
    <w:name w:val="header"/>
    <w:basedOn w:val="Normal"/>
    <w:link w:val="HeaderChar"/>
    <w:uiPriority w:val="99"/>
    <w:unhideWhenUsed/>
    <w:rsid w:val="00AC0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3C3"/>
  </w:style>
  <w:style w:type="paragraph" w:styleId="Footer">
    <w:name w:val="footer"/>
    <w:basedOn w:val="Normal"/>
    <w:link w:val="FooterChar"/>
    <w:uiPriority w:val="99"/>
    <w:unhideWhenUsed/>
    <w:rsid w:val="00AC0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22B4C-0232-412C-9B7A-2993FED7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3679</Words>
  <Characters>20975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Hughes</dc:creator>
  <cp:keywords/>
  <dc:description/>
  <cp:lastModifiedBy>Liv Hughes</cp:lastModifiedBy>
  <cp:revision>2</cp:revision>
  <dcterms:created xsi:type="dcterms:W3CDTF">2026-04-30T21:02:00Z</dcterms:created>
  <dcterms:modified xsi:type="dcterms:W3CDTF">2026-04-30T21:02:00Z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55027cec-d2c0-4096-89d1-95b5de6a946a</vt:lpwstr>
  </property>
</Properties>
</file>